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2"/>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中药学专业（专升本）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vAlign w:val="top"/>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320402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vAlign w:val="top"/>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vAlign w:val="top"/>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pacing w:val="-20"/>
                <w:sz w:val="32"/>
                <w:szCs w:val="32"/>
                <w:lang w:bidi="ar"/>
              </w:rPr>
              <w:t>专业负责人</w:t>
            </w:r>
            <w:r>
              <w:rPr>
                <w:rFonts w:ascii="Times New Roman" w:hAnsi="Times New Roman" w:eastAsia="仿宋_GB2312" w:cs="Times New Roman"/>
                <w:sz w:val="32"/>
                <w:szCs w:val="32"/>
                <w:lang w:bidi="ar"/>
              </w:rPr>
              <w:t>：</w:t>
            </w:r>
          </w:p>
        </w:tc>
        <w:tc>
          <w:tcPr>
            <w:tcW w:w="3891" w:type="dxa"/>
            <w:vAlign w:val="top"/>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陈勇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vAlign w:val="top"/>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13507712739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vAlign w:val="top"/>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vAlign w:val="top"/>
          </w:tcPr>
          <w:p>
            <w:pPr>
              <w:widowControl/>
              <w:overflowPunct w:val="0"/>
              <w:adjustRightInd w:val="0"/>
              <w:jc w:val="right"/>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11"/>
        <w:rPr>
          <w:rFonts w:ascii="Times New Roman" w:hAnsi="Times New Roman" w:eastAsia="楷体_GB2312" w:cs="Times New Roman"/>
          <w:sz w:val="32"/>
          <w:szCs w:val="32"/>
          <w:lang w:bidi="ar"/>
        </w:rPr>
      </w:pPr>
    </w:p>
    <w:p>
      <w:pPr>
        <w:pStyle w:val="11"/>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sectPr>
          <w:footerReference r:id="rId4" w:type="first"/>
          <w:footerReference r:id="rId3" w:type="default"/>
          <w:pgSz w:w="11906" w:h="16838"/>
          <w:pgMar w:top="1440" w:right="1803" w:bottom="1440" w:left="1803" w:header="851" w:footer="850" w:gutter="0"/>
          <w:cols w:space="720" w:num="1"/>
          <w:titlePg/>
          <w:docGrid w:type="lines" w:linePitch="579" w:charSpace="21679"/>
        </w:sect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pPr>
    </w:p>
    <w:p>
      <w:pPr>
        <w:jc w:val="center"/>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填表说明</w:t>
      </w:r>
    </w:p>
    <w:p>
      <w:pPr>
        <w:jc w:val="center"/>
        <w:rPr>
          <w:rFonts w:ascii="Times New Roman" w:hAnsi="Times New Roman" w:eastAsia="仿宋_GB2312" w:cs="Times New Roman"/>
          <w:sz w:val="32"/>
          <w:szCs w:val="32"/>
          <w:lang w:bidi="ar"/>
        </w:rPr>
      </w:pP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1.本表用于各学校填报新增拟招生的高职本科教育专业信息。</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3.表中所填内容要言简意赅，如有需要可另附报告，一个专业对应的报告单独一册，双面打印，单独装订。</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NumType w:start="1"/>
          <w:cols w:space="720" w:num="1"/>
          <w:titlePg/>
          <w:docGrid w:type="lines" w:linePitch="579" w:charSpace="21679"/>
        </w:sectPr>
      </w:pPr>
    </w:p>
    <w:tbl>
      <w:tblPr>
        <w:tblStyle w:val="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606"/>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4"/>
            <w:vAlign w:val="center"/>
          </w:tcPr>
          <w:p>
            <w:pPr>
              <w:snapToGrid w:val="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拟招生专业名称</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中药学专业（专升本）</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320402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办学性质</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民办</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学位授予学科门类</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4</w:t>
            </w:r>
            <w:r>
              <w:rPr>
                <w:rFonts w:hint="eastAsia" w:ascii="Times New Roman" w:hAnsi="Times New Roman" w:eastAsia="仿宋_GB2312" w:cs="Times New Roman"/>
                <w:sz w:val="24"/>
                <w:szCs w:val="24"/>
              </w:rPr>
              <w:t>年拟招生数（人）</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70</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学制</w:t>
            </w:r>
          </w:p>
        </w:tc>
        <w:tc>
          <w:tcPr>
            <w:tcW w:w="1791"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总学时</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1504</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实践教学学时</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实践教学学时占总学时的比例</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55.59%</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实验实训项目（任务）能够开出率（%）</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“双师型”教师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占比（%）</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57.14</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兼职教师数（人）</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兼职教师计划承担的专业课授课学时占专业课总学时比例（%）</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25.00</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是否有省级及以上教育行政部门等认定的高水平教师教学（科研）创新团队</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省级及以上教学名师数量（人）</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省级及以上教学领域有关奖励数量（项）</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8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生均教学科研仪器设备值（万元）</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1.99</w:t>
            </w:r>
          </w:p>
        </w:tc>
        <w:tc>
          <w:tcPr>
            <w:tcW w:w="2646"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是否有省级及以上技术研发推广平台</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8732" w:type="dxa"/>
            <w:gridSpan w:val="4"/>
            <w:tcBorders>
              <w:bottom w:val="single" w:color="000000" w:sz="4" w:space="0"/>
            </w:tcBorders>
            <w:vAlign w:val="center"/>
          </w:tcPr>
          <w:p>
            <w:pPr>
              <w:snapToGrid w:val="0"/>
              <w:jc w:val="left"/>
              <w:rPr>
                <w:rFonts w:hint="eastAsia" w:ascii="Times New Roman" w:hAnsi="Times New Roman" w:eastAsia="仿宋_GB2312" w:cs="Times New Roman"/>
                <w:sz w:val="24"/>
                <w:szCs w:val="24"/>
                <w:lang w:eastAsia="zh-CN"/>
              </w:rPr>
            </w:pPr>
            <w:r>
              <w:rPr>
                <w:rFonts w:ascii="Times New Roman" w:hAnsi="Times New Roman" w:eastAsia="仿宋_GB2312" w:cs="Times New Roman"/>
                <w:b/>
                <w:bCs/>
                <w:sz w:val="24"/>
                <w:szCs w:val="24"/>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中医养生保健</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520417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专业开设时间</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2018</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是否为省级以上</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本专业全日制</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在校生数（人）</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256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本专业专任教师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专任教师与全日制</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在校生人数之比</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高级职称专任教师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具有研究生学位</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专任教师比例（%）</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64.29</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rPr>
              <w:t>年度面向行业企业和社会开展职业</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培训人次</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highlight w:val="none"/>
                <w:lang w:val="en-US" w:eastAsia="zh-CN"/>
              </w:rPr>
              <w:t>750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rPr>
              <w:t>年度招生计划</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rPr>
              <w:t>年度新生</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报到率（%）</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100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rPr>
              <w:t>年度应届生</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83.94</w:t>
            </w:r>
          </w:p>
        </w:tc>
      </w:tr>
    </w:tbl>
    <w:p/>
    <w:tbl>
      <w:tblPr>
        <w:tblStyle w:val="9"/>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方正仿宋简体" w:cs="Times New Roman"/>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position w:val="6"/>
                <w:sz w:val="24"/>
                <w:szCs w:val="24"/>
                <w:highlight w:val="none"/>
                <w14:textFill>
                  <w14:solidFill>
                    <w14:schemeClr w14:val="tx1"/>
                  </w14:solidFill>
                </w14:textFill>
              </w:rPr>
              <w:t>拟招生专业设置可行性</w:t>
            </w:r>
          </w:p>
        </w:tc>
        <w:tc>
          <w:tcPr>
            <w:tcW w:w="7844" w:type="dxa"/>
          </w:tcPr>
          <w:p>
            <w:pPr>
              <w:pStyle w:val="13"/>
              <w:keepNext w:val="0"/>
              <w:keepLines w:val="0"/>
              <w:pageBreakBefore w:val="0"/>
              <w:widowControl w:val="0"/>
              <w:kinsoku/>
              <w:wordWrap/>
              <w:overflowPunct/>
              <w:topLinePunct w:val="0"/>
              <w:autoSpaceDE/>
              <w:autoSpaceDN/>
              <w:bidi w:val="0"/>
              <w:adjustRightInd/>
              <w:snapToGrid w:val="0"/>
              <w:spacing w:line="560" w:lineRule="exact"/>
              <w:ind w:firstLine="56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一、行业/企业调研分析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hint="default"/>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国家“十四五”规划提出：推动中医药传承创新，促进少数民族医药发展，强化中医药特色人才培养。广西“十四五”规划提出：大力发展中医药壮瑶医药。崇左市2021年重点投资合作的61项项目中有6项以中草药种植与加工为主，</w:t>
            </w:r>
            <w:r>
              <w:rPr>
                <w:rFonts w:hint="eastAsia" w:ascii="仿宋" w:hAnsi="仿宋" w:eastAsia="仿宋" w:cs="仿宋"/>
                <w:color w:val="000000" w:themeColor="text1"/>
                <w:sz w:val="28"/>
                <w:szCs w:val="28"/>
                <w:highlight w:val="none"/>
                <w:lang w:val="en-US" w:eastAsia="zh-CN"/>
                <w14:textFill>
                  <w14:solidFill>
                    <w14:schemeClr w14:val="tx1"/>
                  </w14:solidFill>
                </w14:textFill>
              </w:rPr>
              <w:t>表明我市对设立和发展中药学专业具有迫切需求。</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在人口老龄化和“健康中国战略”社会背景下，中药产业成为国民经济重要支柱之一，到2030年大健康产业总规模将达到16万亿。党的二十大报告指出，推进健康中国建设，促进中医药传承创新发展</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经过招聘网站调研，执业药师的月平均收入达5590元，高者上万元，中药行业发展与就业前景广阔。</w:t>
            </w:r>
          </w:p>
          <w:p>
            <w:pPr>
              <w:pStyle w:val="13"/>
              <w:snapToGrid w:val="0"/>
              <w:spacing w:line="560" w:lineRule="exact"/>
              <w:ind w:firstLine="56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二、人才供给情况分析</w:t>
            </w:r>
          </w:p>
          <w:p>
            <w:pPr>
              <w:snapToGrid w:val="0"/>
              <w:spacing w:line="560" w:lineRule="exact"/>
              <w:ind w:firstLine="560" w:firstLineChars="200"/>
              <w:textAlignment w:val="baseline"/>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2021年1月12日，国务院办公厅印发《关于加快中医药特色发展的若干政策措施》提出，将用5-10年培育10万名左右中医药骨干人才</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中药产业朝着规模化、规范化、国际化的方向发展。目前全国有117所本科院校开设中药学专业，区内主要有广西医科大学、广西中医药大学和桂林医学院等本科院校招收普通本科层次中药学专业学生，具有实践操作技能的</w:t>
            </w:r>
            <w:r>
              <w:rPr>
                <w:rFonts w:hint="eastAsia" w:ascii="仿宋" w:hAnsi="仿宋" w:eastAsia="仿宋" w:cs="仿宋"/>
                <w:color w:val="000000" w:themeColor="text1"/>
                <w:sz w:val="28"/>
                <w:szCs w:val="28"/>
                <w:highlight w:val="none"/>
                <w:lang w:val="en-US" w:eastAsia="zh-CN"/>
                <w14:textFill>
                  <w14:solidFill>
                    <w14:schemeClr w14:val="tx1"/>
                  </w14:solidFill>
                </w14:textFill>
              </w:rPr>
              <w:t>中药学</w:t>
            </w:r>
            <w:r>
              <w:rPr>
                <w:rFonts w:hint="eastAsia" w:ascii="仿宋" w:hAnsi="仿宋" w:eastAsia="仿宋" w:cs="仿宋"/>
                <w:color w:val="000000" w:themeColor="text1"/>
                <w:sz w:val="28"/>
                <w:szCs w:val="28"/>
                <w:highlight w:val="none"/>
                <w14:textFill>
                  <w14:solidFill>
                    <w14:schemeClr w14:val="tx1"/>
                  </w14:solidFill>
                </w14:textFill>
              </w:rPr>
              <w:t>业人才仍然是用人单位需求的主体，中药学专业高层次技术技能人才极为紧缺。</w:t>
            </w:r>
          </w:p>
          <w:p>
            <w:pPr>
              <w:pStyle w:val="13"/>
              <w:snapToGrid w:val="0"/>
              <w:spacing w:line="560" w:lineRule="exact"/>
              <w:ind w:firstLine="56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三、办学基础和专业特色</w:t>
            </w:r>
          </w:p>
          <w:p>
            <w:pPr>
              <w:snapToGrid w:val="0"/>
              <w:spacing w:line="560" w:lineRule="exact"/>
              <w:ind w:firstLine="560" w:firstLineChars="200"/>
              <w:textAlignment w:val="baseline"/>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（一）办学基础良好</w:t>
            </w:r>
          </w:p>
          <w:p>
            <w:pPr>
              <w:snapToGrid w:val="0"/>
              <w:spacing w:line="560" w:lineRule="exact"/>
              <w:ind w:firstLine="560" w:firstLineChars="200"/>
              <w:textAlignment w:val="baseline"/>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学校基础设施齐全，现有214间多媒体教室，馆藏纸质图书222.74万册；电子图书178.16万册。校内已建成</w:t>
            </w:r>
            <w:r>
              <w:rPr>
                <w:rFonts w:hint="eastAsia" w:ascii="仿宋" w:hAnsi="仿宋" w:eastAsia="仿宋" w:cs="仿宋"/>
                <w:color w:val="000000" w:themeColor="text1"/>
                <w:sz w:val="28"/>
                <w:szCs w:val="28"/>
                <w:highlight w:val="none"/>
                <w:lang w:val="en-US" w:eastAsia="zh-CN"/>
                <w14:textFill>
                  <w14:solidFill>
                    <w14:schemeClr w14:val="tx1"/>
                  </w14:solidFill>
                </w14:textFill>
              </w:rPr>
              <w:t>25</w:t>
            </w:r>
            <w:r>
              <w:rPr>
                <w:rFonts w:hint="eastAsia" w:ascii="仿宋" w:hAnsi="仿宋" w:eastAsia="仿宋" w:cs="仿宋"/>
                <w:color w:val="000000" w:themeColor="text1"/>
                <w:sz w:val="28"/>
                <w:szCs w:val="28"/>
                <w:highlight w:val="none"/>
                <w14:textFill>
                  <w14:solidFill>
                    <w14:schemeClr w14:val="tx1"/>
                  </w14:solidFill>
                </w14:textFill>
              </w:rPr>
              <w:t>亩种植有400余种中草药的“国粹百草园”实训基地和</w:t>
            </w:r>
            <w:r>
              <w:rPr>
                <w:rFonts w:hint="eastAsia" w:ascii="仿宋" w:hAnsi="仿宋" w:eastAsia="仿宋" w:cs="仿宋"/>
                <w:color w:val="000000" w:themeColor="text1"/>
                <w:sz w:val="28"/>
                <w:szCs w:val="28"/>
                <w:highlight w:val="none"/>
                <w:lang w:eastAsia="zh-CN"/>
                <w14:textFill>
                  <w14:solidFill>
                    <w14:schemeClr w14:val="tx1"/>
                  </w14:solidFill>
                </w14:textFill>
              </w:rPr>
              <w:t>健康学院</w:t>
            </w:r>
            <w:r>
              <w:rPr>
                <w:rFonts w:hint="eastAsia" w:ascii="仿宋" w:hAnsi="仿宋" w:eastAsia="仿宋" w:cs="仿宋"/>
                <w:color w:val="000000" w:themeColor="text1"/>
                <w:sz w:val="28"/>
                <w:szCs w:val="28"/>
                <w:highlight w:val="none"/>
                <w:lang w:val="en-US" w:eastAsia="zh-CN"/>
                <w14:textFill>
                  <w14:solidFill>
                    <w14:schemeClr w14:val="tx1"/>
                  </w14:solidFill>
                </w14:textFill>
              </w:rPr>
              <w:t>综合实验实训基地</w:t>
            </w:r>
            <w:r>
              <w:rPr>
                <w:rFonts w:hint="eastAsia" w:ascii="仿宋" w:hAnsi="仿宋" w:eastAsia="仿宋" w:cs="仿宋"/>
                <w:color w:val="000000" w:themeColor="text1"/>
                <w:sz w:val="28"/>
                <w:szCs w:val="28"/>
                <w:highlight w:val="none"/>
                <w14:textFill>
                  <w14:solidFill>
                    <w14:schemeClr w14:val="tx1"/>
                  </w14:solidFill>
                </w14:textFill>
              </w:rPr>
              <w:t>，投入400余万元在崇左太平古城建立广西国膳堂餐饮服务有限公司“国粹药膳堂”、广西国粹百草园中草药有限公司等；与广西中医药大学附属瑞康医院、广西桂和堂中药集团有限公司等</w:t>
            </w:r>
            <w:r>
              <w:rPr>
                <w:rFonts w:hint="eastAsia" w:ascii="仿宋" w:hAnsi="仿宋" w:eastAsia="仿宋" w:cs="仿宋"/>
                <w:color w:val="000000" w:themeColor="text1"/>
                <w:sz w:val="28"/>
                <w:szCs w:val="28"/>
                <w:highlight w:val="non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14:textFill>
                  <w14:solidFill>
                    <w14:schemeClr w14:val="tx1"/>
                  </w14:solidFill>
                </w14:textFill>
              </w:rPr>
              <w:t>家单位签订了校院（企）合作协议；本专业还拥有一支结构合理，整体素质优良的师资队伍，能满足专业教学、研究、实习实训的需要。</w:t>
            </w:r>
          </w:p>
          <w:p>
            <w:pPr>
              <w:snapToGrid w:val="0"/>
              <w:spacing w:line="560" w:lineRule="exact"/>
              <w:ind w:firstLine="560" w:firstLineChars="200"/>
              <w:textAlignment w:val="baseline"/>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（二）专业特色鲜明</w:t>
            </w:r>
          </w:p>
          <w:p>
            <w:pPr>
              <w:snapToGrid w:val="0"/>
              <w:spacing w:line="560" w:lineRule="exact"/>
              <w:ind w:firstLine="560" w:firstLineChars="200"/>
              <w:textAlignment w:val="baseline"/>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实施“三教融合、德技双优”人才培养模式。注重素质教育、专业教育、职业教育相融合，以职业需求为导向、以职业技能为核心、以科创实践为特色，对接1＋X证书，突出壮瑶药的办学特色，加强识药、知药、懂药，及中草药古法炮制、药膳制作等实践动手能力；打造具有文化引领、产业示范、产品支撑、行业带动作用的产供销研创一体化、种养教学加一条龙的教学模式，培养“德技双优”的高层次技术技能人才。</w:t>
            </w:r>
          </w:p>
          <w:p>
            <w:pPr>
              <w:pStyle w:val="13"/>
              <w:snapToGrid w:val="0"/>
              <w:spacing w:line="560" w:lineRule="exact"/>
              <w:ind w:firstLine="56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四、保障措施及相关制度</w:t>
            </w:r>
          </w:p>
          <w:p>
            <w:pPr>
              <w:snapToGrid w:val="0"/>
              <w:spacing w:line="560" w:lineRule="exact"/>
              <w:ind w:firstLine="560" w:firstLineChars="200"/>
              <w:textAlignment w:val="baseline"/>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通过设立组织架构，加大经费投入，建立健全专业建设监督机制，确立质量评价体系，保障专业可持续发展。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教师队伍</w:t>
            </w:r>
          </w:p>
          <w:p>
            <w:pPr>
              <w:snapToGrid w:val="0"/>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情况要点</w:t>
            </w:r>
          </w:p>
        </w:tc>
        <w:tc>
          <w:tcPr>
            <w:tcW w:w="7844" w:type="dxa"/>
          </w:tcPr>
          <w:p>
            <w:pPr>
              <w:snapToGrid w:val="0"/>
              <w:spacing w:line="560" w:lineRule="exact"/>
              <w:ind w:firstLine="560" w:firstLineChars="200"/>
              <w:textAlignment w:val="baseline"/>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所依托专业中，专任教师</w:t>
            </w:r>
            <w:r>
              <w:rPr>
                <w:rFonts w:hint="eastAsia" w:ascii="仿宋" w:hAnsi="仿宋" w:eastAsia="仿宋" w:cs="仿宋"/>
                <w:color w:val="000000" w:themeColor="text1"/>
                <w:sz w:val="28"/>
                <w:szCs w:val="28"/>
                <w:highlight w:val="none"/>
                <w:lang w:val="en-US" w:eastAsia="zh-CN"/>
                <w14:textFill>
                  <w14:solidFill>
                    <w14:schemeClr w14:val="tx1"/>
                  </w14:solidFill>
                </w14:textFill>
              </w:rPr>
              <w:t>14</w:t>
            </w:r>
            <w:r>
              <w:rPr>
                <w:rFonts w:hint="eastAsia" w:ascii="仿宋" w:hAnsi="仿宋" w:eastAsia="仿宋" w:cs="仿宋"/>
                <w:color w:val="000000" w:themeColor="text1"/>
                <w:sz w:val="28"/>
                <w:szCs w:val="28"/>
                <w:highlight w:val="none"/>
                <w14:textFill>
                  <w14:solidFill>
                    <w14:schemeClr w14:val="tx1"/>
                  </w14:solidFill>
                </w14:textFill>
              </w:rPr>
              <w:t>人，兼职教师</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14:textFill>
                  <w14:solidFill>
                    <w14:schemeClr w14:val="tx1"/>
                  </w14:solidFill>
                </w14:textFill>
              </w:rPr>
              <w:t>人，具体情况如下：</w:t>
            </w:r>
          </w:p>
          <w:p>
            <w:pPr>
              <w:numPr>
                <w:ilvl w:val="0"/>
                <w:numId w:val="0"/>
              </w:numPr>
              <w:snapToGrid w:val="0"/>
              <w:spacing w:line="560" w:lineRule="exact"/>
              <w:ind w:firstLine="560" w:firstLineChars="200"/>
              <w:textAlignment w:val="baseline"/>
              <w:rPr>
                <w:rFonts w:hint="default" w:ascii="黑体" w:hAnsi="黑体" w:eastAsia="黑体" w:cs="黑体"/>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color w:val="000000" w:themeColor="text1"/>
                <w:kern w:val="2"/>
                <w:sz w:val="28"/>
                <w:szCs w:val="28"/>
                <w:highlight w:val="none"/>
                <w:lang w:val="en-US" w:eastAsia="zh-CN" w:bidi="ar-SA"/>
                <w14:textFill>
                  <w14:solidFill>
                    <w14:schemeClr w14:val="tx1"/>
                  </w14:solidFill>
                </w14:textFill>
              </w:rPr>
              <w:t>一、师资队伍基本情况</w:t>
            </w:r>
          </w:p>
          <w:p>
            <w:pPr>
              <w:pStyle w:val="2"/>
              <w:keepNext w:val="0"/>
              <w:keepLines w:val="0"/>
              <w:pageBreakBefore w:val="0"/>
              <w:widowControl w:val="0"/>
              <w:kinsoku/>
              <w:wordWrap/>
              <w:overflowPunct/>
              <w:topLinePunct w:val="0"/>
              <w:autoSpaceDE/>
              <w:autoSpaceDN/>
              <w:bidi w:val="0"/>
              <w:adjustRightInd/>
              <w:snapToGrid/>
              <w:spacing w:line="570" w:lineRule="exact"/>
              <w:ind w:firstLine="56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所依托专业中，专兼职教师18人，本专业的专任教师中，高级职称专任教师比例为42.86%，具有研究生学位专任教师比例为64.29%，具有博士研究生学位专任教师比例为21.43%，“双师型”教师占比为57.14%。来自行业企业一线的兼职教师占一定比例并有实质性专业教学任务，所承担的专业课教学任务授课课时占总课时的25.00%。</w:t>
            </w:r>
          </w:p>
          <w:p>
            <w:pPr>
              <w:numPr>
                <w:ilvl w:val="0"/>
                <w:numId w:val="0"/>
              </w:numPr>
              <w:snapToGrid w:val="0"/>
              <w:spacing w:line="560" w:lineRule="exact"/>
              <w:ind w:firstLine="560" w:firstLineChars="200"/>
              <w:textAlignment w:val="baseline"/>
              <w:rPr>
                <w:rFonts w:hint="default" w:ascii="仿宋" w:hAnsi="仿宋" w:eastAsia="仿宋" w:cs="仿宋"/>
                <w:color w:val="000000" w:themeColor="text1"/>
                <w:highlight w:val="none"/>
                <w:lang w:val="en-US"/>
                <w14:textFill>
                  <w14:solidFill>
                    <w14:schemeClr w14:val="tx1"/>
                  </w14:solidFill>
                </w14:textFill>
              </w:rPr>
            </w:pPr>
            <w:r>
              <w:rPr>
                <w:rFonts w:hint="eastAsia" w:ascii="黑体" w:hAnsi="黑体" w:eastAsia="黑体" w:cs="黑体"/>
                <w:color w:val="000000" w:themeColor="text1"/>
                <w:kern w:val="2"/>
                <w:sz w:val="28"/>
                <w:szCs w:val="28"/>
                <w:highlight w:val="none"/>
                <w:lang w:val="en-US" w:eastAsia="zh-CN" w:bidi="ar-SA"/>
                <w14:textFill>
                  <w14:solidFill>
                    <w14:schemeClr w14:val="tx1"/>
                  </w14:solidFill>
                </w14:textFill>
              </w:rPr>
              <w:t>二、教学团队省级及以上教学奖励情况</w:t>
            </w:r>
          </w:p>
          <w:p>
            <w:pPr>
              <w:pStyle w:val="2"/>
              <w:ind w:firstLine="560" w:firstLineChars="200"/>
              <w:jc w:val="both"/>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专业教师获省级及以上教学领域有关奖励</w:t>
            </w:r>
            <w:r>
              <w:rPr>
                <w:rFonts w:hint="eastAsia" w:ascii="仿宋" w:hAnsi="仿宋" w:eastAsia="仿宋" w:cs="仿宋"/>
                <w:color w:val="000000" w:themeColor="text1"/>
                <w:highlight w:val="none"/>
                <w:lang w:val="en-US" w:eastAsia="zh-CN"/>
                <w14:textFill>
                  <w14:solidFill>
                    <w14:schemeClr w14:val="tx1"/>
                  </w14:solidFill>
                </w14:textFill>
              </w:rPr>
              <w:t>10</w:t>
            </w:r>
            <w:r>
              <w:rPr>
                <w:rFonts w:hint="eastAsia" w:ascii="仿宋" w:hAnsi="仿宋" w:eastAsia="仿宋" w:cs="仿宋"/>
                <w:color w:val="000000" w:themeColor="text1"/>
                <w:highlight w:val="none"/>
                <w14:textFill>
                  <w14:solidFill>
                    <w14:schemeClr w14:val="tx1"/>
                  </w14:solidFill>
                </w14:textFill>
              </w:rPr>
              <w:t>项，其中</w:t>
            </w:r>
          </w:p>
          <w:p>
            <w:pPr>
              <w:pStyle w:val="2"/>
              <w:jc w:val="both"/>
              <w:rPr>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获得</w:t>
            </w:r>
            <w:r>
              <w:rPr>
                <w:rFonts w:hint="eastAsia" w:ascii="仿宋" w:hAnsi="仿宋" w:eastAsia="仿宋" w:cs="仿宋"/>
                <w:color w:val="000000" w:themeColor="text1"/>
                <w:highlight w:val="none"/>
                <w:lang w:eastAsia="zh-CN"/>
                <w14:textFill>
                  <w14:solidFill>
                    <w14:schemeClr w14:val="tx1"/>
                  </w14:solidFill>
                </w14:textFill>
              </w:rPr>
              <w:t>科学技术进步奖一等奖</w:t>
            </w:r>
            <w:r>
              <w:rPr>
                <w:rFonts w:hint="eastAsia" w:ascii="仿宋" w:hAnsi="仿宋" w:eastAsia="仿宋" w:cs="仿宋"/>
                <w:color w:val="000000" w:themeColor="text1"/>
                <w:highlight w:val="none"/>
                <w:lang w:val="en-US" w:eastAsia="zh-CN"/>
                <w14:textFill>
                  <w14:solidFill>
                    <w14:schemeClr w14:val="tx1"/>
                  </w14:solidFill>
                </w14:textFill>
              </w:rPr>
              <w:t>2项，二等奖1项，自治区教学成果奖三等奖4项，美食大赛金奖1项，中药壮瑶药膳大赛团体优秀奖1项，南宁市科学技术二等奖1项，</w:t>
            </w:r>
            <w:r>
              <w:rPr>
                <w:rFonts w:hint="eastAsia" w:ascii="仿宋" w:hAnsi="仿宋" w:eastAsia="仿宋" w:cs="仿宋"/>
                <w:color w:val="000000" w:themeColor="text1"/>
                <w:highlight w:val="none"/>
                <w14:textFill>
                  <w14:solidFill>
                    <w14:schemeClr w14:val="tx1"/>
                  </w14:solidFill>
                </w14:textFill>
              </w:rPr>
              <w:t>课堂教学和教学改革研究方面取得了较好的成果。</w:t>
            </w:r>
          </w:p>
          <w:p>
            <w:pPr>
              <w:numPr>
                <w:ilvl w:val="0"/>
                <w:numId w:val="0"/>
              </w:numPr>
              <w:snapToGrid w:val="0"/>
              <w:spacing w:line="560" w:lineRule="exact"/>
              <w:ind w:firstLine="560" w:firstLineChars="200"/>
              <w:textAlignment w:val="baseline"/>
              <w:rPr>
                <w:rFonts w:hint="default" w:ascii="黑体" w:hAnsi="黑体" w:eastAsia="黑体" w:cs="黑体"/>
                <w:color w:val="000000" w:themeColor="text1"/>
                <w:kern w:val="2"/>
                <w:sz w:val="28"/>
                <w:szCs w:val="28"/>
                <w:highlight w:val="none"/>
                <w:lang w:val="en-US" w:eastAsia="zh-CN" w:bidi="ar-SA"/>
                <w14:textFill>
                  <w14:solidFill>
                    <w14:schemeClr w14:val="tx1"/>
                  </w14:solidFill>
                </w14:textFill>
              </w:rPr>
            </w:pPr>
            <w:r>
              <w:rPr>
                <w:rFonts w:hint="eastAsia" w:ascii="黑体" w:hAnsi="黑体" w:eastAsia="黑体" w:cs="黑体"/>
                <w:color w:val="000000" w:themeColor="text1"/>
                <w:kern w:val="2"/>
                <w:sz w:val="28"/>
                <w:szCs w:val="28"/>
                <w:highlight w:val="none"/>
                <w:lang w:val="en-US" w:eastAsia="zh-CN" w:bidi="ar-SA"/>
                <w14:textFill>
                  <w14:solidFill>
                    <w14:schemeClr w14:val="tx1"/>
                  </w14:solidFill>
                </w14:textFill>
              </w:rPr>
              <w:t>三、中药学专业带头人简介</w:t>
            </w:r>
          </w:p>
          <w:p>
            <w:pPr>
              <w:snapToGrid w:val="0"/>
              <w:spacing w:line="560" w:lineRule="exact"/>
              <w:ind w:firstLine="560" w:firstLineChars="200"/>
              <w:textAlignment w:val="baseline"/>
              <w:rPr>
                <w:rFonts w:ascii="Times New Roman" w:hAnsi="Times New Roman" w:eastAsia="方正仿宋简体" w:cs="Times New Roman"/>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中药学专业带头人陈勇，二级教授，硕士生导师。现任中国民族医药学会瑶医药分会常务理事；广西药学会副理事长；全国中医药高等教育学会中药教育研究会常务理事；广西高等教育学会化学化工专业委员会常务理事；广西分析测试协会常务理事；广西、云南、重庆和江西等省市科技项目评审专家；广西药品医疗器械审评专家；《中华中医药杂志》和《中华中医药学刊》等杂志审稿专家。已从事中药（壮瑶药）教学和科研工作40余年，主要承担了《药物分析》《中药分析》等5门专科、本科和硕士研究生课程的教学。研究方向为中药（壮瑶药）质量分析。主持完成国家自然科学基金项目3项；主持完成省部级科研项目10项；主持完成厅局级课题10余项；获国家发明专利授权2项；已公开发表学术论文200多篇，其中，中文核心期刊论文30多篇，SCI论文5篇；获广西科技进步奖一等奖2项；广西科技进步二等奖1项；获广西高等教育省级优秀教学成果三等奖3项；副主编全国中医药院校规划教材2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专业人才</w:t>
            </w:r>
          </w:p>
          <w:p>
            <w:pPr>
              <w:snapToGrid w:val="0"/>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培养方案要点</w:t>
            </w:r>
          </w:p>
        </w:tc>
        <w:tc>
          <w:tcPr>
            <w:tcW w:w="7844" w:type="dxa"/>
          </w:tcPr>
          <w:p>
            <w:pPr>
              <w:pStyle w:val="13"/>
              <w:snapToGrid w:val="0"/>
              <w:spacing w:line="560" w:lineRule="exact"/>
              <w:ind w:firstLine="560"/>
              <w:jc w:val="left"/>
              <w:rPr>
                <w:rFonts w:ascii="宋体" w:hAnsi="宋体" w:eastAsia="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一、专业定位</w:t>
            </w:r>
            <w:r>
              <w:rPr>
                <w:rFonts w:hint="eastAsia" w:ascii="仿宋" w:hAnsi="仿宋" w:eastAsia="仿宋" w:cs="方正仿宋_GB2312"/>
                <w:color w:val="000000" w:themeColor="text1"/>
                <w:sz w:val="28"/>
                <w:szCs w:val="28"/>
                <w:highlight w:val="none"/>
                <w14:textFill>
                  <w14:solidFill>
                    <w14:schemeClr w14:val="tx1"/>
                  </w14:solidFill>
                </w14:textFill>
              </w:rPr>
              <w:t xml:space="preserve"> </w:t>
            </w:r>
          </w:p>
          <w:p>
            <w:pPr>
              <w:widowControl/>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本专业以区域经济发展需求为出发点，以培养适应国家经济与社会发展需要的高层次技术技能人才为目标，服务大健康产业发展，培养具备良好的人文素养、科学素养、职业道德和精益求精的工匠精神，扎实的中药学理论知识基础，掌握中药学相关技能，突出壮瑶地方特色，面向医药制造业的中药炮制工、药物制剂工、药物检验工、制药工程技术人员、药物营销工作等职业，能够从事中药制造生产、中药炮制加工、中药学生产与质量管理、中药制剂生产工艺改进、中药剂型改进与处方优化、药膳设计制作、中草药培育种植等工作的高层次技术技能人才。逐步建成一个广西引领、全国知名、东盟有影响的中药学职业本科专业。</w:t>
            </w:r>
          </w:p>
          <w:p>
            <w:pPr>
              <w:pStyle w:val="13"/>
              <w:snapToGrid w:val="0"/>
              <w:spacing w:line="560" w:lineRule="exact"/>
              <w:ind w:firstLine="56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二、职业面向</w:t>
            </w:r>
          </w:p>
          <w:p>
            <w:pPr>
              <w:widowControl/>
              <w:snapToGrid w:val="0"/>
              <w:spacing w:line="560" w:lineRule="exact"/>
              <w:ind w:firstLine="560" w:firstLineChars="200"/>
              <w:jc w:val="left"/>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学生毕业后在本专业及相关领域经过五年左右的锻炼，能够通过自主学习相关专业知识，掌握相关专业技能，具备解决中药专业及相关领域复杂问题的能力，成为药物检验员、中药师、民族药师、中药炮制工等专门人才，优秀者能够成为相关领域的高级管理人才。</w:t>
            </w:r>
          </w:p>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三、课程体系</w:t>
            </w:r>
          </w:p>
          <w:p>
            <w:pPr>
              <w:widowControl/>
              <w:snapToGrid w:val="0"/>
              <w:spacing w:line="560" w:lineRule="exact"/>
              <w:ind w:firstLine="560" w:firstLineChars="20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专业根据专业定位和人才培养目标要求，构建“3平台7模块”的特色课程体系，即职业素质教育平台、职业技能教育平台与实践教学平台，涵盖职业素质公共必修课程模块、通识教育选修课程模块、职业能力基础课程模块、职业能力专业核心课程模块、专业能力拓展选修课程模块、职业技能等级认证模块、职业能力实践模块共7个模块。围绕课程内容对接职业标准、教学过程对接工作过程研究设置课程体系，将职业素质提升与教学过程相融合、职业岗位训练与教学情境相融合、专业技能证书与教学内容相融合，构建校企合作、基于工作岗位需求的课程体系。</w:t>
            </w:r>
          </w:p>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四、人才培养模式</w:t>
            </w:r>
          </w:p>
          <w:p>
            <w:pPr>
              <w:spacing w:line="560" w:lineRule="exact"/>
              <w:ind w:firstLine="560" w:firstLineChars="200"/>
              <w:rPr>
                <w:rFonts w:ascii="Times New Roman" w:hAnsi="Times New Roman" w:eastAsia="方正仿宋简体" w:cs="Times New Roman"/>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坚持以学生为中心，学以致用的教学理念，实施“三教融合、德技双优”人才培养模式，</w:t>
            </w:r>
            <w:r>
              <w:rPr>
                <w:rFonts w:hint="eastAsia" w:ascii="仿宋" w:hAnsi="仿宋" w:eastAsia="仿宋" w:cs="仿宋"/>
                <w:color w:val="000000" w:themeColor="text1"/>
                <w:sz w:val="28"/>
                <w:szCs w:val="28"/>
                <w:highlight w:val="none"/>
                <w14:textFill>
                  <w14:solidFill>
                    <w14:schemeClr w14:val="tx1"/>
                  </w14:solidFill>
                </w14:textFill>
              </w:rPr>
              <w:t>校企合作共同制定人才培养方案，确定人才培养目标，培养中药行业的高层次技术技能人才。</w:t>
            </w:r>
            <w:r>
              <w:rPr>
                <w:rFonts w:hint="eastAsia" w:ascii="仿宋" w:hAnsi="仿宋" w:eastAsia="仿宋" w:cs="仿宋"/>
                <w:color w:val="000000" w:themeColor="text1"/>
                <w:kern w:val="0"/>
                <w:sz w:val="28"/>
                <w:szCs w:val="28"/>
                <w:highlight w:val="none"/>
                <w14:textFill>
                  <w14:solidFill>
                    <w14:schemeClr w14:val="tx1"/>
                  </w14:solidFill>
                </w14:textFill>
              </w:rPr>
              <w:t>同时</w:t>
            </w:r>
            <w:r>
              <w:rPr>
                <w:rFonts w:hint="eastAsia" w:ascii="仿宋" w:hAnsi="仿宋" w:eastAsia="仿宋" w:cs="仿宋"/>
                <w:color w:val="000000" w:themeColor="text1"/>
                <w:sz w:val="28"/>
                <w:szCs w:val="28"/>
                <w:highlight w:val="none"/>
                <w14:textFill>
                  <w14:solidFill>
                    <w14:schemeClr w14:val="tx1"/>
                  </w14:solidFill>
                </w14:textFill>
              </w:rPr>
              <w:t>不断加强校院（企）深度融合，拓宽育人途径，强化学生专业技术技能，积极联合校院（企）合作单位开设</w:t>
            </w:r>
            <w:r>
              <w:rPr>
                <w:rFonts w:hint="eastAsia" w:ascii="仿宋" w:hAnsi="仿宋" w:eastAsia="仿宋" w:cs="方正仿宋_GB2312"/>
                <w:color w:val="000000" w:themeColor="text1"/>
                <w:sz w:val="28"/>
                <w:szCs w:val="28"/>
                <w:highlight w:val="none"/>
                <w14:textFill>
                  <w14:solidFill>
                    <w14:schemeClr w14:val="tx1"/>
                  </w14:solidFill>
                </w14:textFill>
              </w:rPr>
              <w:t>协同育人实训课程，</w:t>
            </w:r>
            <w:r>
              <w:rPr>
                <w:rFonts w:hint="eastAsia" w:ascii="仿宋" w:hAnsi="仿宋" w:eastAsia="仿宋" w:cs="仿宋"/>
                <w:color w:val="000000" w:themeColor="text1"/>
                <w:sz w:val="28"/>
                <w:szCs w:val="28"/>
                <w:highlight w:val="none"/>
                <w14:textFill>
                  <w14:solidFill>
                    <w14:schemeClr w14:val="tx1"/>
                  </w14:solidFill>
                </w14:textFill>
              </w:rPr>
              <w:t>采取导师责任制，深入开展</w:t>
            </w:r>
            <w:r>
              <w:rPr>
                <w:rFonts w:hint="eastAsia" w:ascii="仿宋" w:hAnsi="仿宋" w:eastAsia="仿宋" w:cs="方正仿宋_GB2312"/>
                <w:color w:val="000000" w:themeColor="text1"/>
                <w:sz w:val="28"/>
                <w:szCs w:val="28"/>
                <w:highlight w:val="none"/>
                <w14:textFill>
                  <w14:solidFill>
                    <w14:schemeClr w14:val="tx1"/>
                  </w14:solidFill>
                </w14:textFill>
              </w:rPr>
              <w:t>认识实习和岗位实习，确保实践教学质量。</w:t>
            </w:r>
            <w:r>
              <w:rPr>
                <w:rFonts w:hint="eastAsia" w:ascii="仿宋" w:hAnsi="仿宋" w:eastAsia="仿宋" w:cs="仿宋"/>
                <w:color w:val="000000" w:themeColor="text1"/>
                <w:sz w:val="28"/>
                <w:szCs w:val="28"/>
                <w:highlight w:val="none"/>
                <w14:textFill>
                  <w14:solidFill>
                    <w14:schemeClr w14:val="tx1"/>
                  </w14:solidFill>
                </w14:textFill>
              </w:rPr>
              <w:t>专业设置课程体系中，实践教学课时占总课时的比例为55.</w:t>
            </w:r>
            <w:r>
              <w:rPr>
                <w:rFonts w:hint="eastAsia" w:ascii="仿宋" w:hAnsi="仿宋" w:eastAsia="仿宋" w:cs="仿宋"/>
                <w:color w:val="000000" w:themeColor="text1"/>
                <w:sz w:val="28"/>
                <w:szCs w:val="28"/>
                <w:highlight w:val="none"/>
                <w:lang w:val="en-US" w:eastAsia="zh-CN"/>
                <w14:textFill>
                  <w14:solidFill>
                    <w14:schemeClr w14:val="tx1"/>
                  </w14:solidFill>
                </w14:textFill>
              </w:rPr>
              <w:t>59</w:t>
            </w:r>
            <w:r>
              <w:rPr>
                <w:rFonts w:hint="eastAsia" w:ascii="仿宋" w:hAnsi="仿宋" w:eastAsia="仿宋" w:cs="仿宋"/>
                <w:color w:val="000000" w:themeColor="text1"/>
                <w:sz w:val="28"/>
                <w:szCs w:val="28"/>
                <w:highlight w:val="none"/>
                <w14:textFill>
                  <w14:solidFill>
                    <w14:schemeClr w14:val="tx1"/>
                  </w14:solidFill>
                </w14:textFill>
              </w:rPr>
              <w:t>%，实验实训项目（任务）拟开出率能够达到100%，符合科学规范的专业人才培养方案的要求。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办学条件概要</w:t>
            </w:r>
          </w:p>
        </w:tc>
        <w:tc>
          <w:tcPr>
            <w:tcW w:w="7844" w:type="dxa"/>
          </w:tcPr>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一、具备开办专业所需的实习实训场所</w:t>
            </w:r>
          </w:p>
          <w:p>
            <w:pPr>
              <w:spacing w:line="56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学校基础设施齐全，拥有支撑本科层次中药学专业的办学条件。现已建成</w:t>
            </w:r>
            <w:r>
              <w:rPr>
                <w:rFonts w:hint="eastAsia" w:ascii="仿宋" w:hAnsi="仿宋" w:eastAsia="仿宋" w:cs="仿宋"/>
                <w:color w:val="000000" w:themeColor="text1"/>
                <w:sz w:val="28"/>
                <w:szCs w:val="28"/>
                <w:highlight w:val="none"/>
                <w:lang w:eastAsia="zh-CN"/>
                <w14:textFill>
                  <w14:solidFill>
                    <w14:schemeClr w14:val="tx1"/>
                  </w14:solidFill>
                </w14:textFill>
              </w:rPr>
              <w:t>健康学院</w:t>
            </w:r>
            <w:r>
              <w:rPr>
                <w:rFonts w:hint="eastAsia" w:ascii="仿宋" w:hAnsi="仿宋" w:eastAsia="仿宋" w:cs="仿宋"/>
                <w:color w:val="000000" w:themeColor="text1"/>
                <w:sz w:val="28"/>
                <w:szCs w:val="28"/>
                <w:highlight w:val="none"/>
                <w:lang w:val="en-US" w:eastAsia="zh-CN"/>
                <w14:textFill>
                  <w14:solidFill>
                    <w14:schemeClr w14:val="tx1"/>
                  </w14:solidFill>
                </w14:textFill>
              </w:rPr>
              <w:t>综合实验实训基地和</w:t>
            </w:r>
            <w:r>
              <w:rPr>
                <w:rFonts w:hint="eastAsia" w:ascii="仿宋" w:hAnsi="仿宋" w:eastAsia="仿宋" w:cs="仿宋"/>
                <w:color w:val="000000" w:themeColor="text1"/>
                <w:sz w:val="28"/>
                <w:szCs w:val="28"/>
                <w:highlight w:val="none"/>
                <w14:textFill>
                  <w14:solidFill>
                    <w14:schemeClr w14:val="tx1"/>
                  </w14:solidFill>
                </w14:textFill>
              </w:rPr>
              <w:t>国粹百草园</w:t>
            </w:r>
            <w:r>
              <w:rPr>
                <w:rFonts w:hint="eastAsia" w:ascii="仿宋" w:hAnsi="仿宋" w:eastAsia="仿宋" w:cs="仿宋"/>
                <w:color w:val="000000" w:themeColor="text1"/>
                <w:sz w:val="28"/>
                <w:szCs w:val="28"/>
                <w:highlight w:val="none"/>
                <w:lang w:eastAsia="zh-CN"/>
                <w14:textFill>
                  <w14:solidFill>
                    <w14:schemeClr w14:val="tx1"/>
                  </w14:solidFill>
                </w14:textFill>
              </w:rPr>
              <w:t>校内</w:t>
            </w:r>
            <w:r>
              <w:rPr>
                <w:rFonts w:hint="eastAsia" w:ascii="仿宋" w:hAnsi="仿宋" w:eastAsia="仿宋" w:cs="仿宋"/>
                <w:color w:val="000000" w:themeColor="text1"/>
                <w:sz w:val="28"/>
                <w:szCs w:val="28"/>
                <w:highlight w:val="none"/>
                <w:lang w:val="en-US" w:eastAsia="zh-CN"/>
                <w14:textFill>
                  <w14:solidFill>
                    <w14:schemeClr w14:val="tx1"/>
                  </w14:solidFill>
                </w14:textFill>
              </w:rPr>
              <w:t>实训基地</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有健康体验馆、</w:t>
            </w:r>
            <w:r>
              <w:rPr>
                <w:rFonts w:hint="eastAsia" w:ascii="仿宋" w:hAnsi="仿宋" w:eastAsia="仿宋" w:cs="仿宋"/>
                <w:color w:val="000000" w:themeColor="text1"/>
                <w:sz w:val="28"/>
                <w:szCs w:val="28"/>
                <w:highlight w:val="none"/>
                <w14:textFill>
                  <w14:solidFill>
                    <w14:schemeClr w14:val="tx1"/>
                  </w14:solidFill>
                </w14:textFill>
              </w:rPr>
              <w:t>中药炮制室(2间)、理化室(2间)、试剂室、分析室、调剂室、中药辨识室等实验实训场所，生均仪器设备值为</w:t>
            </w:r>
            <w:r>
              <w:rPr>
                <w:rFonts w:hint="eastAsia" w:ascii="仿宋" w:hAnsi="仿宋" w:eastAsia="仿宋" w:cs="仿宋"/>
                <w:color w:val="000000" w:themeColor="text1"/>
                <w:sz w:val="28"/>
                <w:szCs w:val="28"/>
                <w:highlight w:val="none"/>
                <w:lang w:val="en-US" w:eastAsia="zh-CN"/>
                <w14:textFill>
                  <w14:solidFill>
                    <w14:schemeClr w14:val="tx1"/>
                  </w14:solidFill>
                </w14:textFill>
              </w:rPr>
              <w:t>1.99</w:t>
            </w:r>
            <w:r>
              <w:rPr>
                <w:rFonts w:hint="eastAsia" w:ascii="仿宋" w:hAnsi="仿宋" w:eastAsia="仿宋" w:cs="仿宋"/>
                <w:color w:val="000000" w:themeColor="text1"/>
                <w:sz w:val="28"/>
                <w:szCs w:val="28"/>
                <w:highlight w:val="none"/>
                <w14:textFill>
                  <w14:solidFill>
                    <w14:schemeClr w14:val="tx1"/>
                  </w14:solidFill>
                </w14:textFill>
              </w:rPr>
              <w:t>万元，教学科研仪器设置值高于本科层次学校设置标准。鼓励师生创业、产教融合，投入400余万元在崇左太平古城建立了以药膳为主的广西国膳堂餐饮服务有限公司</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“国粹药膳堂”、以中草药培育、种植、售卖为主的广西国粹百草园中草药有限公司等。同时，5G网络全面覆盖所有教室和实训室，能完全满足进行专业课程的线上线下教学与实训要求。</w:t>
            </w:r>
          </w:p>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二、积极推进产教融合，建立稳定校院（企）合作关系</w:t>
            </w:r>
          </w:p>
          <w:p>
            <w:pPr>
              <w:spacing w:line="560" w:lineRule="exact"/>
              <w:ind w:firstLine="560" w:firstLineChars="200"/>
              <w:rPr>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已与广西桂和堂中药集团有限公司、广西中医药大学附属瑞康医院、崇左市人民医院、扶绥县人民医院等</w:t>
            </w:r>
            <w:r>
              <w:rPr>
                <w:rFonts w:hint="eastAsia" w:ascii="仿宋" w:hAnsi="仿宋" w:eastAsia="仿宋" w:cs="仿宋"/>
                <w:color w:val="000000" w:themeColor="text1"/>
                <w:sz w:val="28"/>
                <w:szCs w:val="28"/>
                <w:highlight w:val="non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14:textFill>
                  <w14:solidFill>
                    <w14:schemeClr w14:val="tx1"/>
                  </w14:solidFill>
                </w14:textFill>
              </w:rPr>
              <w:t>家单位签订协议，合作建立校外实习实训基地。深化产教融合，共同研究专业设置、共同设计人才培养方案、共同开发课程、共同开发教材、共同组建教学团队、共同建设实训实习平台、共同制定人才培养质量标准，为该专业的建设和发展提供了保障。</w:t>
            </w:r>
          </w:p>
          <w:p>
            <w:pPr>
              <w:snapToGrid w:val="0"/>
              <w:spacing w:line="560" w:lineRule="exact"/>
              <w:ind w:firstLine="560" w:firstLineChars="200"/>
              <w:jc w:val="left"/>
              <w:rPr>
                <w:rFonts w:ascii="仿宋" w:hAnsi="仿宋" w:eastAsia="仿宋" w:cs="方正仿宋_GB2312"/>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三、依托成熟专业群体，办学基础夯实</w:t>
            </w:r>
          </w:p>
          <w:p>
            <w:pPr>
              <w:spacing w:line="560" w:lineRule="exact"/>
              <w:ind w:firstLine="560" w:firstLineChars="200"/>
              <w:rPr>
                <w:rFonts w:ascii="黑体" w:hAnsi="黑体" w:eastAsia="黑体" w:cs="黑体"/>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依托</w:t>
            </w:r>
            <w:r>
              <w:rPr>
                <w:rFonts w:hint="eastAsia" w:ascii="仿宋" w:hAnsi="仿宋" w:eastAsia="仿宋" w:cs="仿宋"/>
                <w:color w:val="000000" w:themeColor="text1"/>
                <w:sz w:val="28"/>
                <w:szCs w:val="28"/>
                <w:highlight w:val="none"/>
                <w:lang w:val="en-US" w:eastAsia="zh-CN"/>
                <w14:textFill>
                  <w14:solidFill>
                    <w14:schemeClr w14:val="tx1"/>
                  </w14:solidFill>
                </w14:textFill>
              </w:rPr>
              <w:t>中医养生保健</w:t>
            </w:r>
            <w:r>
              <w:rPr>
                <w:rFonts w:hint="eastAsia" w:ascii="仿宋" w:hAnsi="仿宋" w:eastAsia="仿宋" w:cs="仿宋"/>
                <w:color w:val="000000" w:themeColor="text1"/>
                <w:sz w:val="28"/>
                <w:szCs w:val="28"/>
                <w:highlight w:val="none"/>
                <w14:textFill>
                  <w14:solidFill>
                    <w14:schemeClr w14:val="tx1"/>
                  </w14:solidFill>
                </w14:textFill>
              </w:rPr>
              <w:t>专业，建立完善系统的医药学类专业群，使各个专业之间能够相互依存，相互促进更好</w:t>
            </w:r>
            <w:r>
              <w:rPr>
                <w:rFonts w:hint="eastAsia" w:ascii="仿宋" w:hAnsi="仿宋" w:eastAsia="仿宋" w:cs="仿宋"/>
                <w:color w:val="000000" w:themeColor="text1"/>
                <w:sz w:val="28"/>
                <w:szCs w:val="28"/>
                <w:highlight w:val="none"/>
                <w:lang w:eastAsia="zh-CN"/>
                <w14:textFill>
                  <w14:solidFill>
                    <w14:schemeClr w14:val="tx1"/>
                  </w14:solidFill>
                </w14:textFill>
              </w:rPr>
              <w:t>地</w:t>
            </w:r>
            <w:r>
              <w:rPr>
                <w:rFonts w:hint="eastAsia" w:ascii="仿宋" w:hAnsi="仿宋" w:eastAsia="仿宋" w:cs="仿宋"/>
                <w:color w:val="000000" w:themeColor="text1"/>
                <w:sz w:val="28"/>
                <w:szCs w:val="28"/>
                <w:highlight w:val="none"/>
                <w14:textFill>
                  <w14:solidFill>
                    <w14:schemeClr w14:val="tx1"/>
                  </w14:solidFill>
                </w14:textFill>
              </w:rPr>
              <w:t>发展。并对本专业形成合围促进态势，依托专业群积累一大批丰富的教学资源，荟萃了一批基础好、教学科研有一定建树的师资队伍，为开办中药学专业提供了有力支持。</w:t>
            </w:r>
          </w:p>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四、稳定增长，专业发展可保障</w:t>
            </w:r>
          </w:p>
          <w:p>
            <w:pPr>
              <w:pStyle w:val="8"/>
              <w:spacing w:after="0" w:line="560" w:lineRule="exact"/>
              <w:ind w:firstLine="560" w:firstLineChars="200"/>
            </w:pPr>
            <w:r>
              <w:rPr>
                <w:rFonts w:hint="eastAsia" w:ascii="仿宋" w:hAnsi="仿宋" w:eastAsia="仿宋" w:cs="仿宋"/>
                <w:color w:val="000000" w:themeColor="text1"/>
                <w:sz w:val="28"/>
                <w:szCs w:val="28"/>
                <w:highlight w:val="none"/>
                <w:u w:val="none"/>
                <w14:textFill>
                  <w14:solidFill>
                    <w14:schemeClr w14:val="tx1"/>
                  </w14:solidFill>
                </w14:textFill>
              </w:rPr>
              <w:t>学院重视专业建设，经费逐年投入，目前已对康复治疗专业、</w:t>
            </w:r>
            <w:r>
              <w:rPr>
                <w:rFonts w:hint="eastAsia" w:ascii="仿宋" w:hAnsi="仿宋" w:eastAsia="仿宋" w:cs="仿宋"/>
                <w:color w:val="000000" w:themeColor="text1"/>
                <w:sz w:val="28"/>
                <w:szCs w:val="28"/>
                <w:highlight w:val="none"/>
                <w:u w:val="none"/>
                <w:lang w:eastAsia="zh-CN"/>
                <w14:textFill>
                  <w14:solidFill>
                    <w14:schemeClr w14:val="tx1"/>
                  </w14:solidFill>
                </w14:textFill>
              </w:rPr>
              <w:t>中药学</w:t>
            </w:r>
            <w:r>
              <w:rPr>
                <w:rFonts w:hint="eastAsia" w:ascii="仿宋" w:hAnsi="仿宋" w:eastAsia="仿宋" w:cs="仿宋"/>
                <w:color w:val="000000" w:themeColor="text1"/>
                <w:sz w:val="28"/>
                <w:szCs w:val="28"/>
                <w:highlight w:val="none"/>
                <w:u w:val="none"/>
                <w14:textFill>
                  <w14:solidFill>
                    <w14:schemeClr w14:val="tx1"/>
                  </w14:solidFill>
                </w14:textFill>
              </w:rPr>
              <w:t>专业、老年服务与管理专业投入设备设施</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1100</w:t>
            </w:r>
            <w:r>
              <w:rPr>
                <w:rFonts w:hint="eastAsia" w:ascii="仿宋" w:hAnsi="仿宋" w:eastAsia="仿宋" w:cs="仿宋"/>
                <w:color w:val="000000" w:themeColor="text1"/>
                <w:sz w:val="28"/>
                <w:szCs w:val="28"/>
                <w:highlight w:val="none"/>
                <w:u w:val="none"/>
                <w14:textFill>
                  <w14:solidFill>
                    <w14:schemeClr w14:val="tx1"/>
                  </w14:solidFill>
                </w14:textFill>
              </w:rPr>
              <w:t>多万元，计划未来三年增加投入专业建设经费300多万元，其中重点往中药相关设施设备方向上投入。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8" w:type="dxa"/>
            <w:vAlign w:val="center"/>
          </w:tcPr>
          <w:p>
            <w:pPr>
              <w:snapToGrid w:val="0"/>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技术研发与社会服务基础概要</w:t>
            </w:r>
          </w:p>
        </w:tc>
        <w:tc>
          <w:tcPr>
            <w:tcW w:w="7844" w:type="dxa"/>
          </w:tcPr>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一、技术研发推广平台及科研成果</w:t>
            </w:r>
          </w:p>
          <w:p>
            <w:pPr>
              <w:snapToGrid w:val="0"/>
              <w:spacing w:line="560" w:lineRule="exact"/>
              <w:ind w:firstLine="560" w:firstLineChars="200"/>
              <w:jc w:val="left"/>
              <w:rPr>
                <w:rFonts w:ascii="仿宋" w:hAnsi="仿宋" w:eastAsia="仿宋" w:cs="方正仿宋_GB2312"/>
                <w:color w:val="000000" w:themeColor="text1"/>
                <w:sz w:val="28"/>
                <w:szCs w:val="28"/>
                <w:highlight w:val="yellow"/>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所依托专业已建成</w:t>
            </w:r>
            <w:r>
              <w:rPr>
                <w:rFonts w:hint="eastAsia" w:ascii="仿宋" w:hAnsi="仿宋" w:eastAsia="仿宋" w:cs="仿宋"/>
                <w:color w:val="000000" w:themeColor="text1"/>
                <w:sz w:val="28"/>
                <w:szCs w:val="28"/>
                <w:highlight w:val="none"/>
                <w:lang w:eastAsia="zh-CN"/>
                <w14:textFill>
                  <w14:solidFill>
                    <w14:schemeClr w14:val="tx1"/>
                  </w14:solidFill>
                </w14:textFill>
              </w:rPr>
              <w:t>健康学院</w:t>
            </w:r>
            <w:r>
              <w:rPr>
                <w:rFonts w:hint="eastAsia" w:ascii="仿宋" w:hAnsi="仿宋" w:eastAsia="仿宋" w:cs="仿宋"/>
                <w:color w:val="000000" w:themeColor="text1"/>
                <w:sz w:val="28"/>
                <w:szCs w:val="28"/>
                <w:highlight w:val="none"/>
                <w:lang w:val="en-US" w:eastAsia="zh-CN"/>
                <w14:textFill>
                  <w14:solidFill>
                    <w14:schemeClr w14:val="tx1"/>
                  </w14:solidFill>
                </w14:textFill>
              </w:rPr>
              <w:t>综合实验实训基地和</w:t>
            </w:r>
            <w:r>
              <w:rPr>
                <w:rFonts w:hint="eastAsia" w:ascii="仿宋" w:hAnsi="仿宋" w:eastAsia="仿宋" w:cs="仿宋"/>
                <w:color w:val="000000" w:themeColor="text1"/>
                <w:sz w:val="28"/>
                <w:szCs w:val="28"/>
                <w:highlight w:val="none"/>
                <w14:textFill>
                  <w14:solidFill>
                    <w14:schemeClr w14:val="tx1"/>
                  </w14:solidFill>
                </w14:textFill>
              </w:rPr>
              <w:t>国粹百草园</w:t>
            </w:r>
            <w:r>
              <w:rPr>
                <w:rFonts w:hint="eastAsia" w:ascii="仿宋" w:hAnsi="仿宋" w:eastAsia="仿宋" w:cs="仿宋"/>
                <w:color w:val="000000" w:themeColor="text1"/>
                <w:sz w:val="28"/>
                <w:szCs w:val="28"/>
                <w:highlight w:val="none"/>
                <w:lang w:eastAsia="zh-CN"/>
                <w14:textFill>
                  <w14:solidFill>
                    <w14:schemeClr w14:val="tx1"/>
                  </w14:solidFill>
                </w14:textFill>
              </w:rPr>
              <w:t>校内</w:t>
            </w:r>
            <w:r>
              <w:rPr>
                <w:rFonts w:hint="eastAsia" w:ascii="仿宋" w:hAnsi="仿宋" w:eastAsia="仿宋" w:cs="仿宋"/>
                <w:color w:val="000000" w:themeColor="text1"/>
                <w:sz w:val="28"/>
                <w:szCs w:val="28"/>
                <w:highlight w:val="none"/>
                <w:lang w:val="en-US" w:eastAsia="zh-CN"/>
                <w14:textFill>
                  <w14:solidFill>
                    <w14:schemeClr w14:val="tx1"/>
                  </w14:solidFill>
                </w14:textFill>
              </w:rPr>
              <w:t>实训基地</w:t>
            </w:r>
            <w:r>
              <w:rPr>
                <w:rFonts w:hint="eastAsia" w:ascii="仿宋" w:hAnsi="仿宋" w:eastAsia="仿宋" w:cs="方正仿宋_GB2312"/>
                <w:color w:val="000000" w:themeColor="text1"/>
                <w:sz w:val="28"/>
                <w:szCs w:val="28"/>
                <w:highlight w:val="none"/>
                <w14:textFill>
                  <w14:solidFill>
                    <w14:schemeClr w14:val="tx1"/>
                  </w14:solidFill>
                </w14:textFill>
              </w:rPr>
              <w:t>，能够满足教师和学生的科学研究及日常的实验实训。未来将通过整合现有资源建成与中药学相结合、集教学与科研于一体的实训中心，进一步加强实验实训教学条件建设，不断提高教学质量。同时，与兄弟院校或相关行业企业共同打造科学研究中心和技术技能大师工作室。努力打造既能满足教学、实验、实训、科研相关要求，又能提升学生社会实践技能，凸显职业本科的优势。近年，依托校内外实验实训平台，教学团队教师陆续完成了市厅级教学科研项目</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4</w:t>
            </w:r>
            <w:r>
              <w:rPr>
                <w:rFonts w:hint="eastAsia" w:ascii="仿宋" w:hAnsi="仿宋" w:eastAsia="仿宋" w:cs="方正仿宋_GB2312"/>
                <w:color w:val="000000" w:themeColor="text1"/>
                <w:sz w:val="28"/>
                <w:szCs w:val="28"/>
                <w:highlight w:val="none"/>
                <w14:textFill>
                  <w14:solidFill>
                    <w14:schemeClr w14:val="tx1"/>
                  </w14:solidFill>
                </w14:textFill>
              </w:rPr>
              <w:t>项，校级教学科研项目</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5</w:t>
            </w:r>
            <w:r>
              <w:rPr>
                <w:rFonts w:hint="eastAsia" w:ascii="仿宋" w:hAnsi="仿宋" w:eastAsia="仿宋" w:cs="方正仿宋_GB2312"/>
                <w:color w:val="000000" w:themeColor="text1"/>
                <w:sz w:val="28"/>
                <w:szCs w:val="28"/>
                <w:highlight w:val="none"/>
                <w14:textFill>
                  <w14:solidFill>
                    <w14:schemeClr w14:val="tx1"/>
                  </w14:solidFill>
                </w14:textFill>
              </w:rPr>
              <w:t>项；获</w:t>
            </w:r>
            <w:r>
              <w:rPr>
                <w:rFonts w:hint="eastAsia" w:ascii="仿宋" w:hAnsi="仿宋" w:eastAsia="仿宋" w:cs="仿宋"/>
                <w:color w:val="000000" w:themeColor="text1"/>
                <w:sz w:val="28"/>
                <w:szCs w:val="28"/>
                <w:highlight w:val="none"/>
                <w14:textFill>
                  <w14:solidFill>
                    <w14:schemeClr w14:val="tx1"/>
                  </w14:solidFill>
                </w14:textFill>
              </w:rPr>
              <w:t>省级教学领域有关奖励</w:t>
            </w:r>
            <w:r>
              <w:rPr>
                <w:rFonts w:hint="eastAsia" w:ascii="仿宋" w:hAnsi="仿宋" w:eastAsia="仿宋" w:cs="仿宋"/>
                <w:color w:val="000000" w:themeColor="text1"/>
                <w:sz w:val="28"/>
                <w:szCs w:val="28"/>
                <w:highlight w:val="none"/>
                <w:lang w:val="en-US" w:eastAsia="zh-CN"/>
                <w14:textFill>
                  <w14:solidFill>
                    <w14:schemeClr w14:val="tx1"/>
                  </w14:solidFill>
                </w14:textFill>
              </w:rPr>
              <w:t>10</w:t>
            </w:r>
            <w:r>
              <w:rPr>
                <w:rFonts w:hint="eastAsia" w:ascii="仿宋" w:hAnsi="仿宋" w:eastAsia="仿宋" w:cs="仿宋"/>
                <w:color w:val="000000" w:themeColor="text1"/>
                <w:sz w:val="28"/>
                <w:szCs w:val="28"/>
                <w:highlight w:val="none"/>
                <w14:textFill>
                  <w14:solidFill>
                    <w14:schemeClr w14:val="tx1"/>
                  </w14:solidFill>
                </w14:textFill>
              </w:rPr>
              <w:t>项</w:t>
            </w:r>
            <w:r>
              <w:rPr>
                <w:rFonts w:hint="eastAsia" w:ascii="仿宋" w:hAnsi="仿宋" w:eastAsia="仿宋" w:cs="方正仿宋_GB2312"/>
                <w:color w:val="000000" w:themeColor="text1"/>
                <w:sz w:val="28"/>
                <w:szCs w:val="28"/>
                <w:highlight w:val="none"/>
                <w14:textFill>
                  <w14:solidFill>
                    <w14:schemeClr w14:val="tx1"/>
                  </w14:solidFill>
                </w14:textFill>
              </w:rPr>
              <w:t>，发表论文</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20</w:t>
            </w:r>
            <w:r>
              <w:rPr>
                <w:rFonts w:hint="eastAsia" w:ascii="仿宋" w:hAnsi="仿宋" w:eastAsia="仿宋" w:cs="方正仿宋_GB2312"/>
                <w:color w:val="000000" w:themeColor="text1"/>
                <w:sz w:val="28"/>
                <w:szCs w:val="28"/>
                <w:highlight w:val="none"/>
                <w14:textFill>
                  <w14:solidFill>
                    <w14:schemeClr w14:val="tx1"/>
                  </w14:solidFill>
                </w14:textFill>
              </w:rPr>
              <w:t>余篇。</w:t>
            </w:r>
          </w:p>
          <w:p>
            <w:pPr>
              <w:snapToGrid w:val="0"/>
              <w:spacing w:line="560" w:lineRule="exact"/>
              <w:ind w:firstLine="560" w:firstLineChars="200"/>
              <w:jc w:val="left"/>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二、走向社会，服务地方经济社会发展</w:t>
            </w:r>
          </w:p>
          <w:p>
            <w:pPr>
              <w:snapToGrid w:val="0"/>
              <w:spacing w:line="560" w:lineRule="exact"/>
              <w:ind w:firstLine="560" w:firstLineChars="200"/>
              <w:rPr>
                <w:rFonts w:ascii="Times New Roman" w:hAnsi="Times New Roman" w:eastAsia="方正仿宋简体" w:cs="Times New Roman"/>
                <w:color w:val="000000" w:themeColor="text1"/>
                <w:sz w:val="18"/>
                <w:szCs w:val="18"/>
                <w:highlight w:val="none"/>
                <w14:textFill>
                  <w14:solidFill>
                    <w14:schemeClr w14:val="tx1"/>
                  </w14:solidFill>
                </w14:textFill>
              </w:rPr>
            </w:pPr>
            <w:r>
              <w:rPr>
                <w:rFonts w:ascii="仿宋" w:hAnsi="仿宋" w:eastAsia="仿宋" w:cs="方正仿宋_GB2312"/>
                <w:color w:val="000000" w:themeColor="text1"/>
                <w:sz w:val="28"/>
                <w:szCs w:val="28"/>
                <w:highlight w:val="none"/>
                <w14:textFill>
                  <w14:solidFill>
                    <w14:schemeClr w14:val="tx1"/>
                  </w14:solidFill>
                </w14:textFill>
              </w:rPr>
              <w:t>本着立足地方、扎根地方、服务地方的理念，主动适应广西经济发展和产业转型方向，不断提高精准度和有效性，在服务经济社会发展中体现价值。深化职业教育改革，提升职业教育质量，深入推进产教融合、校院（企）合作，推动教师、教材、教法改革，促进本专业办出特色、办出水平，加快培养大批高素质劳动者和技术技能人才，为广西经济社会高质量发展作出更大贡献。与</w:t>
            </w:r>
            <w:r>
              <w:rPr>
                <w:rFonts w:hint="eastAsia" w:ascii="仿宋" w:hAnsi="仿宋" w:eastAsia="仿宋" w:cs="仿宋"/>
                <w:color w:val="000000" w:themeColor="text1"/>
                <w:sz w:val="28"/>
                <w:szCs w:val="28"/>
                <w:highlight w:val="none"/>
                <w14:textFill>
                  <w14:solidFill>
                    <w14:schemeClr w14:val="tx1"/>
                  </w14:solidFill>
                </w14:textFill>
              </w:rPr>
              <w:t>广西桂和堂中药集团有限公司、广西中医药大学附属瑞康医院</w:t>
            </w:r>
            <w:r>
              <w:rPr>
                <w:rFonts w:ascii="仿宋" w:hAnsi="仿宋" w:eastAsia="仿宋" w:cs="方正仿宋_GB2312"/>
                <w:color w:val="000000" w:themeColor="text1"/>
                <w:sz w:val="28"/>
                <w:szCs w:val="28"/>
                <w:highlight w:val="none"/>
                <w14:textFill>
                  <w14:solidFill>
                    <w14:schemeClr w14:val="tx1"/>
                  </w14:solidFill>
                </w14:textFill>
              </w:rPr>
              <w:t>等</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9</w:t>
            </w:r>
            <w:r>
              <w:rPr>
                <w:rFonts w:hint="eastAsia" w:ascii="仿宋" w:hAnsi="仿宋" w:eastAsia="仿宋" w:cs="方正仿宋_GB2312"/>
                <w:color w:val="000000" w:themeColor="text1"/>
                <w:sz w:val="28"/>
                <w:szCs w:val="28"/>
                <w:highlight w:val="none"/>
                <w14:textFill>
                  <w14:solidFill>
                    <w14:schemeClr w14:val="tx1"/>
                  </w14:solidFill>
                </w14:textFill>
              </w:rPr>
              <w:t>家</w:t>
            </w:r>
            <w:r>
              <w:rPr>
                <w:rFonts w:ascii="仿宋" w:hAnsi="仿宋" w:eastAsia="仿宋" w:cs="方正仿宋_GB2312"/>
                <w:color w:val="000000" w:themeColor="text1"/>
                <w:sz w:val="28"/>
                <w:szCs w:val="28"/>
                <w:highlight w:val="none"/>
                <w14:textFill>
                  <w14:solidFill>
                    <w14:schemeClr w14:val="tx1"/>
                  </w14:solidFill>
                </w14:textFill>
              </w:rPr>
              <w:t>签订校院</w:t>
            </w:r>
            <w:r>
              <w:rPr>
                <w:rFonts w:hint="eastAsia" w:ascii="仿宋" w:hAnsi="仿宋" w:eastAsia="仿宋" w:cs="方正仿宋_GB2312"/>
                <w:color w:val="000000" w:themeColor="text1"/>
                <w:sz w:val="28"/>
                <w:szCs w:val="28"/>
                <w:highlight w:val="none"/>
                <w14:textFill>
                  <w14:solidFill>
                    <w14:schemeClr w14:val="tx1"/>
                  </w14:solidFill>
                </w14:textFill>
              </w:rPr>
              <w:t>（企）</w:t>
            </w:r>
            <w:r>
              <w:rPr>
                <w:rFonts w:ascii="仿宋" w:hAnsi="仿宋" w:eastAsia="仿宋" w:cs="方正仿宋_GB2312"/>
                <w:color w:val="000000" w:themeColor="text1"/>
                <w:sz w:val="28"/>
                <w:szCs w:val="28"/>
                <w:highlight w:val="none"/>
                <w14:textFill>
                  <w14:solidFill>
                    <w14:schemeClr w14:val="tx1"/>
                  </w14:solidFill>
                </w14:textFill>
              </w:rPr>
              <w:t>合作并进行深度交流和学习，服务地方经济。近年来，学校积极利用教学设备和师资力量优势，加强与企业共同开展科研和社会服务，初步实现了为当地产业发展提供人才支持，大大提升了学校的社会认可度，在一定程度上提升了地方经济效益和社会效益。</w:t>
            </w:r>
            <w:r>
              <w:rPr>
                <w:rFonts w:hint="eastAsia" w:ascii="仿宋" w:hAnsi="仿宋" w:eastAsia="仿宋" w:cs="方正仿宋_GB2312"/>
                <w:color w:val="000000" w:themeColor="text1"/>
                <w:sz w:val="28"/>
                <w:szCs w:val="28"/>
                <w:highlight w:val="none"/>
                <w14:textFill>
                  <w14:solidFill>
                    <w14:schemeClr w14:val="tx1"/>
                  </w14:solidFill>
                </w14:textFill>
              </w:rPr>
              <w:t>如积极组织开展社会服务活动，目前已完成</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小儿推拿技术培训、“养生保健”咨询与专项培训、中医四季养生知识与应用专项培训</w:t>
            </w:r>
            <w:r>
              <w:rPr>
                <w:rFonts w:hint="eastAsia" w:ascii="仿宋" w:hAnsi="仿宋" w:eastAsia="仿宋" w:cs="方正仿宋_GB2312"/>
                <w:color w:val="000000" w:themeColor="text1"/>
                <w:sz w:val="28"/>
                <w:szCs w:val="28"/>
                <w:highlight w:val="none"/>
                <w14:textFill>
                  <w14:solidFill>
                    <w14:schemeClr w14:val="tx1"/>
                  </w14:solidFill>
                </w14:textFill>
              </w:rPr>
              <w:t>等</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3</w:t>
            </w:r>
            <w:r>
              <w:rPr>
                <w:rFonts w:hint="eastAsia" w:ascii="仿宋" w:hAnsi="仿宋" w:eastAsia="仿宋" w:cs="方正仿宋_GB2312"/>
                <w:color w:val="000000" w:themeColor="text1"/>
                <w:sz w:val="28"/>
                <w:szCs w:val="28"/>
                <w:highlight w:val="none"/>
                <w14:textFill>
                  <w14:solidFill>
                    <w14:schemeClr w14:val="tx1"/>
                  </w14:solidFill>
                </w14:textFill>
              </w:rPr>
              <w:t>项社会服务；同时通过职业技能活动周、社区讲座等方式面向行业企业和社会开展职业技能培训，202</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3</w:t>
            </w:r>
            <w:r>
              <w:rPr>
                <w:rFonts w:hint="eastAsia" w:ascii="仿宋" w:hAnsi="仿宋" w:eastAsia="仿宋" w:cs="方正仿宋_GB2312"/>
                <w:color w:val="000000" w:themeColor="text1"/>
                <w:sz w:val="28"/>
                <w:szCs w:val="28"/>
                <w:highlight w:val="none"/>
                <w14:textFill>
                  <w14:solidFill>
                    <w14:schemeClr w14:val="tx1"/>
                  </w14:solidFill>
                </w14:textFill>
              </w:rPr>
              <w:t>年职业培训</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750</w:t>
            </w:r>
            <w:bookmarkStart w:id="0" w:name="_GoBack"/>
            <w:bookmarkEnd w:id="0"/>
            <w:r>
              <w:rPr>
                <w:rFonts w:hint="eastAsia" w:ascii="仿宋" w:hAnsi="仿宋" w:eastAsia="仿宋" w:cs="方正仿宋_GB2312"/>
                <w:color w:val="000000" w:themeColor="text1"/>
                <w:sz w:val="28"/>
                <w:szCs w:val="28"/>
                <w:highlight w:val="none"/>
                <w14:textFill>
                  <w14:solidFill>
                    <w14:schemeClr w14:val="tx1"/>
                  </w14:solidFill>
                </w14:textFill>
              </w:rPr>
              <w:t>人次，是依托专业在校学生人数的2.</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93</w:t>
            </w:r>
            <w:r>
              <w:rPr>
                <w:rFonts w:hint="eastAsia" w:ascii="仿宋" w:hAnsi="仿宋" w:eastAsia="仿宋" w:cs="方正仿宋_GB2312"/>
                <w:color w:val="000000" w:themeColor="text1"/>
                <w:sz w:val="28"/>
                <w:szCs w:val="28"/>
                <w:highlight w:val="none"/>
                <w14:textFill>
                  <w14:solidFill>
                    <w14:schemeClr w14:val="tx1"/>
                  </w14:solidFill>
                </w14:textFill>
              </w:rPr>
              <w:t>倍，主要包括中</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食物营养</w:t>
            </w:r>
            <w:r>
              <w:rPr>
                <w:rFonts w:hint="eastAsia" w:ascii="仿宋" w:hAnsi="仿宋" w:eastAsia="仿宋" w:cs="方正仿宋_GB2312"/>
                <w:color w:val="000000" w:themeColor="text1"/>
                <w:sz w:val="28"/>
                <w:szCs w:val="28"/>
                <w:highlight w:val="none"/>
                <w14:textFill>
                  <w14:solidFill>
                    <w14:schemeClr w14:val="tx1"/>
                  </w14:solidFill>
                </w14:textFill>
              </w:rPr>
              <w:t>、</w:t>
            </w:r>
            <w:r>
              <w:rPr>
                <w:rFonts w:hint="eastAsia" w:ascii="仿宋" w:hAnsi="仿宋" w:eastAsia="仿宋" w:cs="方正仿宋_GB2312"/>
                <w:color w:val="000000" w:themeColor="text1"/>
                <w:sz w:val="28"/>
                <w:szCs w:val="28"/>
                <w:highlight w:val="none"/>
                <w:lang w:val="en-US" w:eastAsia="zh-CN"/>
                <w14:textFill>
                  <w14:solidFill>
                    <w14:schemeClr w14:val="tx1"/>
                  </w14:solidFill>
                </w14:textFill>
              </w:rPr>
              <w:t>简单药膳</w:t>
            </w:r>
            <w:r>
              <w:rPr>
                <w:rFonts w:hint="eastAsia" w:ascii="仿宋" w:hAnsi="仿宋" w:eastAsia="仿宋" w:cs="方正仿宋_GB2312"/>
                <w:color w:val="000000" w:themeColor="text1"/>
                <w:sz w:val="28"/>
                <w:szCs w:val="28"/>
                <w:highlight w:val="none"/>
                <w14:textFill>
                  <w14:solidFill>
                    <w14:schemeClr w14:val="tx1"/>
                  </w14:solidFill>
                </w14:textFill>
              </w:rPr>
              <w:t>等内容，效果良好，得到了行业企业和社会大众的一致认可。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888" w:type="dxa"/>
            <w:vAlign w:val="center"/>
          </w:tcPr>
          <w:p>
            <w:pPr>
              <w:snapToGrid w:val="0"/>
              <w:jc w:val="cente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专家组评议意见</w:t>
            </w:r>
          </w:p>
        </w:tc>
        <w:tc>
          <w:tcPr>
            <w:tcW w:w="7844" w:type="dxa"/>
            <w:vAlign w:val="bottom"/>
          </w:tcPr>
          <w:p>
            <w:pPr>
              <w:pStyle w:val="2"/>
              <w:rPr>
                <w:rFonts w:hint="eastAsia" w:ascii="仿宋" w:hAnsi="仿宋" w:eastAsia="仿宋" w:cs="仿宋"/>
                <w:color w:val="000000" w:themeColor="text1"/>
                <w:sz w:val="18"/>
                <w:szCs w:val="18"/>
                <w:highlight w:val="none"/>
                <w14:textFill>
                  <w14:solidFill>
                    <w14:schemeClr w14:val="tx1"/>
                  </w14:solidFill>
                </w14:textFill>
              </w:rPr>
            </w:pPr>
          </w:p>
          <w:p>
            <w:pPr>
              <w:pStyle w:val="3"/>
              <w:jc w:val="both"/>
              <w:rPr>
                <w:rFonts w:hint="eastAsia"/>
              </w:rPr>
            </w:pPr>
          </w:p>
          <w:p>
            <w:pPr>
              <w:rPr>
                <w:rFonts w:hint="eastAsia"/>
              </w:rPr>
            </w:pPr>
          </w:p>
          <w:p>
            <w:pPr>
              <w:tabs>
                <w:tab w:val="left" w:pos="478"/>
              </w:tabs>
              <w:wordWrap w:val="0"/>
              <w:snapToGrid w:val="0"/>
              <w:ind w:firstLine="2520" w:firstLineChars="9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专家组长签字：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snapToGrid w:val="0"/>
              <w:jc w:val="right"/>
              <w:rPr>
                <w:rFonts w:hint="eastAsia" w:ascii="仿宋" w:hAnsi="仿宋" w:eastAsia="仿宋" w:cs="仿宋"/>
                <w:color w:val="000000" w:themeColor="text1"/>
                <w:szCs w:val="21"/>
                <w:highlight w:val="none"/>
                <w14:textFill>
                  <w14:solidFill>
                    <w14:schemeClr w14:val="tx1"/>
                  </w14:solidFill>
                </w14:textFill>
              </w:rPr>
            </w:pPr>
          </w:p>
          <w:p>
            <w:pPr>
              <w:snapToGrid w:val="0"/>
              <w:jc w:val="right"/>
              <w:rPr>
                <w:rFonts w:hint="eastAsia" w:ascii="仿宋" w:hAnsi="仿宋" w:eastAsia="仿宋" w:cs="仿宋"/>
                <w:color w:val="000000" w:themeColor="text1"/>
                <w:kern w:val="2"/>
                <w:sz w:val="18"/>
                <w:szCs w:val="1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8" w:hRule="atLeast"/>
          <w:jc w:val="center"/>
        </w:trPr>
        <w:tc>
          <w:tcPr>
            <w:tcW w:w="888" w:type="dxa"/>
            <w:vAlign w:val="center"/>
          </w:tcPr>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省级教育行政部门复核意见</w:t>
            </w: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p>
            <w:pPr>
              <w:snapToGrid w:val="0"/>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7844" w:type="dxa"/>
            <w:vAlign w:val="bottom"/>
          </w:tcPr>
          <w:p>
            <w:pPr>
              <w:wordWrap w:val="0"/>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wordWrap w:val="0"/>
              <w:snapToGrid w:val="0"/>
              <w:jc w:val="right"/>
              <w:rPr>
                <w:rFonts w:hint="eastAsia" w:ascii="仿宋" w:hAnsi="仿宋" w:eastAsia="仿宋" w:cs="仿宋"/>
                <w:color w:val="000000" w:themeColor="text1"/>
                <w:sz w:val="18"/>
                <w:szCs w:val="18"/>
                <w:highlight w:val="none"/>
                <w14:textFill>
                  <w14:solidFill>
                    <w14:schemeClr w14:val="tx1"/>
                  </w14:solidFill>
                </w14:textFill>
              </w:rPr>
            </w:pPr>
          </w:p>
          <w:p>
            <w:pPr>
              <w:wordWrap w:val="0"/>
              <w:snapToGrid w:val="0"/>
              <w:jc w:val="right"/>
              <w:rPr>
                <w:rFonts w:hint="eastAsia" w:ascii="仿宋" w:hAnsi="仿宋" w:eastAsia="仿宋" w:cs="仿宋"/>
                <w:color w:val="000000" w:themeColor="text1"/>
                <w:sz w:val="20"/>
                <w:szCs w:val="20"/>
                <w:highlight w:val="none"/>
                <w14:textFill>
                  <w14:solidFill>
                    <w14:schemeClr w14:val="tx1"/>
                  </w14:solidFill>
                </w14:textFill>
              </w:rPr>
            </w:pPr>
          </w:p>
          <w:p>
            <w:pPr>
              <w:wordWrap w:val="0"/>
              <w:snapToGrid w:val="0"/>
              <w:jc w:val="right"/>
              <w:rPr>
                <w:rFonts w:hint="eastAsia" w:ascii="仿宋" w:hAnsi="仿宋" w:eastAsia="仿宋" w:cs="仿宋"/>
                <w:color w:val="000000" w:themeColor="text1"/>
                <w:sz w:val="20"/>
                <w:szCs w:val="20"/>
                <w:highlight w:val="none"/>
                <w14:textFill>
                  <w14:solidFill>
                    <w14:schemeClr w14:val="tx1"/>
                  </w14:solidFill>
                </w14:textFill>
              </w:rPr>
            </w:pPr>
          </w:p>
          <w:p>
            <w:pPr>
              <w:wordWrap w:val="0"/>
              <w:snapToGrid w:val="0"/>
              <w:jc w:val="right"/>
              <w:rPr>
                <w:rFonts w:hint="eastAsia" w:ascii="仿宋" w:hAnsi="仿宋" w:eastAsia="仿宋" w:cs="仿宋"/>
                <w:color w:val="000000" w:themeColor="text1"/>
                <w:sz w:val="20"/>
                <w:szCs w:val="20"/>
                <w:highlight w:val="none"/>
                <w14:textFill>
                  <w14:solidFill>
                    <w14:schemeClr w14:val="tx1"/>
                  </w14:solidFill>
                </w14:textFill>
              </w:rPr>
            </w:pPr>
          </w:p>
          <w:p>
            <w:pPr>
              <w:wordWrap w:val="0"/>
              <w:snapToGrid w:val="0"/>
              <w:jc w:val="right"/>
              <w:rPr>
                <w:rFonts w:hint="eastAsia" w:ascii="仿宋" w:hAnsi="仿宋" w:eastAsia="仿宋" w:cs="仿宋"/>
                <w:color w:val="000000" w:themeColor="text1"/>
                <w:sz w:val="20"/>
                <w:szCs w:val="20"/>
                <w:highlight w:val="none"/>
                <w14:textFill>
                  <w14:solidFill>
                    <w14:schemeClr w14:val="tx1"/>
                  </w14:solidFill>
                </w14:textFill>
              </w:rPr>
            </w:pPr>
          </w:p>
          <w:p>
            <w:pPr>
              <w:wordWrap w:val="0"/>
              <w:snapToGrid w:val="0"/>
              <w:jc w:val="righ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xml:space="preserve">        （盖章）                   </w:t>
            </w:r>
          </w:p>
          <w:p>
            <w:pPr>
              <w:snapToGrid w:val="0"/>
              <w:jc w:val="left"/>
              <w:rPr>
                <w:rFonts w:hint="eastAsia" w:ascii="仿宋" w:hAnsi="仿宋" w:eastAsia="仿宋" w:cs="仿宋"/>
                <w:color w:val="000000" w:themeColor="text1"/>
                <w:sz w:val="28"/>
                <w:szCs w:val="28"/>
                <w:highlight w:val="none"/>
                <w14:textFill>
                  <w14:solidFill>
                    <w14:schemeClr w14:val="tx1"/>
                  </w14:solidFill>
                </w14:textFill>
              </w:rPr>
            </w:pPr>
          </w:p>
          <w:p>
            <w:pPr>
              <w:wordWrap w:val="0"/>
              <w:snapToGrid w:val="0"/>
              <w:jc w:val="center"/>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 xml:space="preserve"> 年    月    日     </w:t>
            </w:r>
            <w:r>
              <w:rPr>
                <w:rFonts w:hint="eastAsia" w:ascii="仿宋" w:hAnsi="仿宋" w:eastAsia="仿宋" w:cs="仿宋"/>
                <w:color w:val="000000" w:themeColor="text1"/>
                <w:sz w:val="20"/>
                <w:szCs w:val="20"/>
                <w:highlight w:val="none"/>
                <w14:textFill>
                  <w14:solidFill>
                    <w14:schemeClr w14:val="tx1"/>
                  </w14:solidFill>
                </w14:textFill>
              </w:rPr>
              <w:t xml:space="preserve"> </w:t>
            </w:r>
            <w:r>
              <w:rPr>
                <w:rFonts w:hint="eastAsia" w:ascii="仿宋" w:hAnsi="仿宋" w:eastAsia="仿宋" w:cs="仿宋"/>
                <w:color w:val="000000" w:themeColor="text1"/>
                <w:sz w:val="18"/>
                <w:szCs w:val="18"/>
                <w:highlight w:val="none"/>
                <w14:textFill>
                  <w14:solidFill>
                    <w14:schemeClr w14:val="tx1"/>
                  </w14:solidFill>
                </w14:textFill>
              </w:rPr>
              <w:t xml:space="preserve">         </w:t>
            </w:r>
          </w:p>
          <w:p>
            <w:pPr>
              <w:rPr>
                <w:rFonts w:hint="eastAsia" w:ascii="仿宋" w:hAnsi="仿宋" w:eastAsia="仿宋" w:cs="仿宋"/>
                <w:color w:val="000000" w:themeColor="text1"/>
                <w:sz w:val="18"/>
                <w:szCs w:val="18"/>
                <w:highlight w:val="none"/>
                <w14:textFill>
                  <w14:solidFill>
                    <w14:schemeClr w14:val="tx1"/>
                  </w14:solidFill>
                </w14:textFill>
              </w:rPr>
            </w:pPr>
          </w:p>
          <w:p>
            <w:pPr>
              <w:rPr>
                <w:rFonts w:hint="eastAsia" w:ascii="仿宋" w:hAnsi="仿宋" w:eastAsia="仿宋" w:cs="仿宋"/>
                <w:color w:val="000000" w:themeColor="text1"/>
                <w:kern w:val="2"/>
                <w:sz w:val="18"/>
                <w:szCs w:val="18"/>
                <w:highlight w:val="none"/>
                <w:lang w:val="en-US" w:eastAsia="zh-CN" w:bidi="ar-SA"/>
                <w14:textFill>
                  <w14:solidFill>
                    <w14:schemeClr w14:val="tx1"/>
                  </w14:solidFill>
                </w14:textFill>
              </w:rPr>
            </w:pPr>
          </w:p>
        </w:tc>
      </w:tr>
    </w:tbl>
    <w:p>
      <w:pPr>
        <w:pStyle w:val="11"/>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54EF5D-452C-4EC7-8019-688D8CFFB38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2E75B5D4-3AF3-475F-B56D-F9D824FBAE8B}"/>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embedRegular r:id="rId3" w:fontKey="{2CBE2578-001E-4C81-9E5D-825688DE28CF}"/>
  </w:font>
  <w:font w:name="仿宋_GB2312">
    <w:panose1 w:val="02010609030101010101"/>
    <w:charset w:val="86"/>
    <w:family w:val="script"/>
    <w:pitch w:val="default"/>
    <w:sig w:usb0="00000001" w:usb1="080E0000" w:usb2="00000000" w:usb3="00000000" w:csb0="00040000" w:csb1="00000000"/>
    <w:embedRegular r:id="rId4" w:fontKey="{2E668EE8-4DEF-466A-ADE4-3272B1CC57B1}"/>
  </w:font>
  <w:font w:name="方正仿宋简体">
    <w:panose1 w:val="02000000000000000000"/>
    <w:charset w:val="86"/>
    <w:family w:val="script"/>
    <w:pitch w:val="default"/>
    <w:sig w:usb0="A00002BF" w:usb1="184F6CFA" w:usb2="00000012" w:usb3="00000000" w:csb0="00040001" w:csb1="00000000"/>
    <w:embedRegular r:id="rId5" w:fontKey="{37F5B12A-0919-41F2-8FA6-36A99FD20FA1}"/>
  </w:font>
  <w:font w:name="仿宋">
    <w:panose1 w:val="02010609060101010101"/>
    <w:charset w:val="86"/>
    <w:family w:val="auto"/>
    <w:pitch w:val="default"/>
    <w:sig w:usb0="800002BF" w:usb1="38CF7CFA" w:usb2="00000016" w:usb3="00000000" w:csb0="00040001" w:csb1="00000000"/>
    <w:embedRegular r:id="rId6" w:fontKey="{30D55D7F-A8DF-4580-8055-404E16C6E5B9}"/>
  </w:font>
  <w:font w:name="楷体">
    <w:panose1 w:val="02010609060101010101"/>
    <w:charset w:val="86"/>
    <w:family w:val="auto"/>
    <w:pitch w:val="default"/>
    <w:sig w:usb0="800002BF" w:usb1="38CF7CFA" w:usb2="00000016" w:usb3="00000000" w:csb0="00040001" w:csb1="00000000"/>
    <w:embedRegular r:id="rId7" w:fontKey="{83DBB709-AA2B-4F8B-8376-CBCE9AF03D5C}"/>
  </w:font>
  <w:font w:name="方正仿宋_GB2312">
    <w:altName w:val="仿宋"/>
    <w:panose1 w:val="02000000000000000000"/>
    <w:charset w:val="86"/>
    <w:family w:val="auto"/>
    <w:pitch w:val="default"/>
    <w:sig w:usb0="00000000" w:usb1="00000000" w:usb2="00000012" w:usb3="00000000" w:csb0="00040001" w:csb1="00000000"/>
    <w:embedRegular r:id="rId8" w:fontKey="{2E5C9C28-0A98-421F-AADE-91D51531D3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sdt>
      <w:sdtPr>
        <w:rPr>
          <w:sz w:val="28"/>
          <w:szCs w:val="28"/>
        </w:rPr>
        <w:id w:val="-176116451"/>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sdt>
      <w:sdtPr>
        <w:rPr>
          <w:sz w:val="28"/>
          <w:szCs w:val="28"/>
        </w:rPr>
        <w:id w:val="-176116451"/>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WM0NmY4MTY3OGMzMzg3MGYzN2UwMzNhZGY2NmUifQ=="/>
  </w:docVars>
  <w:rsids>
    <w:rsidRoot w:val="00000000"/>
    <w:rsid w:val="02CB619B"/>
    <w:rsid w:val="038325D2"/>
    <w:rsid w:val="056D353A"/>
    <w:rsid w:val="06B70F10"/>
    <w:rsid w:val="07B728D5"/>
    <w:rsid w:val="08484032"/>
    <w:rsid w:val="08601134"/>
    <w:rsid w:val="088B20C2"/>
    <w:rsid w:val="09A80FD6"/>
    <w:rsid w:val="09D92F4C"/>
    <w:rsid w:val="0B41178A"/>
    <w:rsid w:val="0CBB0C54"/>
    <w:rsid w:val="0EC57F43"/>
    <w:rsid w:val="0FF327CF"/>
    <w:rsid w:val="105A290D"/>
    <w:rsid w:val="128F2D41"/>
    <w:rsid w:val="16C531D6"/>
    <w:rsid w:val="173B33A2"/>
    <w:rsid w:val="17BD33A6"/>
    <w:rsid w:val="18345CA0"/>
    <w:rsid w:val="1C250273"/>
    <w:rsid w:val="1CF87735"/>
    <w:rsid w:val="1D7B4783"/>
    <w:rsid w:val="1DBA2C3C"/>
    <w:rsid w:val="299D58EC"/>
    <w:rsid w:val="2A744EF2"/>
    <w:rsid w:val="2ADE7DE6"/>
    <w:rsid w:val="2CF33A75"/>
    <w:rsid w:val="2D2105E2"/>
    <w:rsid w:val="303E0DF8"/>
    <w:rsid w:val="310D4304"/>
    <w:rsid w:val="31807FCD"/>
    <w:rsid w:val="3277594F"/>
    <w:rsid w:val="34CA0BC8"/>
    <w:rsid w:val="37201416"/>
    <w:rsid w:val="382C2214"/>
    <w:rsid w:val="397C2E69"/>
    <w:rsid w:val="3A0D3E2D"/>
    <w:rsid w:val="3FC36380"/>
    <w:rsid w:val="40A02887"/>
    <w:rsid w:val="448734FB"/>
    <w:rsid w:val="44A973E3"/>
    <w:rsid w:val="456D4DC4"/>
    <w:rsid w:val="46C95B1B"/>
    <w:rsid w:val="488C4D1B"/>
    <w:rsid w:val="48CC45FF"/>
    <w:rsid w:val="4C644F3A"/>
    <w:rsid w:val="4E6656E1"/>
    <w:rsid w:val="4E9E65B0"/>
    <w:rsid w:val="5050234E"/>
    <w:rsid w:val="52884862"/>
    <w:rsid w:val="543547EF"/>
    <w:rsid w:val="55CC4CE0"/>
    <w:rsid w:val="564D5672"/>
    <w:rsid w:val="56B51C18"/>
    <w:rsid w:val="57F74CC6"/>
    <w:rsid w:val="5DEB2104"/>
    <w:rsid w:val="5F2176D5"/>
    <w:rsid w:val="5F7567C2"/>
    <w:rsid w:val="5F9A2F47"/>
    <w:rsid w:val="632E6FDA"/>
    <w:rsid w:val="641C32D6"/>
    <w:rsid w:val="65E96A70"/>
    <w:rsid w:val="6894168D"/>
    <w:rsid w:val="69032B47"/>
    <w:rsid w:val="69BB0CB7"/>
    <w:rsid w:val="69C31922"/>
    <w:rsid w:val="6AAC7BD6"/>
    <w:rsid w:val="6C441742"/>
    <w:rsid w:val="6E3F5258"/>
    <w:rsid w:val="72C74F6C"/>
    <w:rsid w:val="794861BA"/>
    <w:rsid w:val="79636111"/>
    <w:rsid w:val="7B8721B4"/>
    <w:rsid w:val="7B894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eastAsia="方正小标宋简体"/>
      <w:kern w:val="44"/>
      <w:sz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题二2（楷体标题）"/>
    <w:basedOn w:val="1"/>
    <w:next w:val="3"/>
    <w:qFormat/>
    <w:uiPriority w:val="0"/>
    <w:pPr>
      <w:spacing w:line="560" w:lineRule="exact"/>
      <w:jc w:val="center"/>
    </w:pPr>
    <w:rPr>
      <w:rFonts w:ascii="宋体" w:hAnsi="宋体" w:cs="宋体"/>
      <w:sz w:val="28"/>
      <w:szCs w:val="28"/>
    </w:rPr>
  </w:style>
  <w:style w:type="paragraph" w:styleId="4">
    <w:name w:val="annotation text"/>
    <w:basedOn w:val="1"/>
    <w:qFormat/>
    <w:uiPriority w:val="0"/>
    <w:pPr>
      <w:jc w:val="left"/>
    </w:pPr>
  </w:style>
  <w:style w:type="paragraph" w:styleId="5">
    <w:name w:val="Body Text"/>
    <w:basedOn w:val="1"/>
    <w:qFormat/>
    <w:uiPriority w:val="0"/>
    <w:pPr>
      <w:widowControl/>
      <w:spacing w:after="240"/>
      <w:jc w:val="left"/>
    </w:pPr>
    <w:rPr>
      <w:rFonts w:ascii="Garamond" w:hAnsi="Garamond"/>
      <w:spacing w:val="-5"/>
      <w:kern w:val="0"/>
      <w:sz w:val="24"/>
      <w:lang w:bidi="he-IL"/>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next w:val="5"/>
    <w:qFormat/>
    <w:uiPriority w:val="0"/>
    <w:pPr>
      <w:spacing w:after="120" w:line="480" w:lineRule="auto"/>
    </w:pPr>
    <w:rPr>
      <w:rFonts w:ascii="Calibri" w:hAnsi="Calibri" w:eastAsia="宋体" w:cs="Times New Roman"/>
      <w:sz w:val="32"/>
      <w:szCs w:val="32"/>
      <w:u w:val="single"/>
    </w:rPr>
  </w:style>
  <w:style w:type="paragraph" w:customStyle="1" w:styleId="11">
    <w:name w:val="首行缩进"/>
    <w:basedOn w:val="1"/>
    <w:qFormat/>
    <w:uiPriority w:val="0"/>
  </w:style>
  <w:style w:type="table" w:customStyle="1" w:styleId="12">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列出段落1"/>
    <w:basedOn w:val="1"/>
    <w:qFormat/>
    <w:uiPriority w:val="0"/>
    <w:pPr>
      <w:ind w:firstLine="420" w:firstLineChars="200"/>
    </w:pPr>
  </w:style>
  <w:style w:type="paragraph" w:customStyle="1" w:styleId="14">
    <w:name w:val="Table Paragraph"/>
    <w:basedOn w:val="1"/>
    <w:qFormat/>
    <w:uiPriority w:val="1"/>
    <w:pPr>
      <w:spacing w:before="95"/>
    </w:pPr>
  </w:style>
  <w:style w:type="paragraph" w:customStyle="1" w:styleId="15">
    <w:name w:val="一级条标题"/>
    <w:basedOn w:val="16"/>
    <w:next w:val="17"/>
    <w:qFormat/>
    <w:uiPriority w:val="0"/>
    <w:pPr>
      <w:spacing w:line="240" w:lineRule="auto"/>
      <w:ind w:left="420"/>
      <w:outlineLvl w:val="2"/>
    </w:pPr>
  </w:style>
  <w:style w:type="paragraph" w:customStyle="1" w:styleId="16">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5408</Words>
  <Characters>5637</Characters>
  <Lines>0</Lines>
  <Paragraphs>0</Paragraphs>
  <TotalTime>7</TotalTime>
  <ScaleCrop>false</ScaleCrop>
  <LinksUpToDate>false</LinksUpToDate>
  <CharactersWithSpaces>5746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ling仔</cp:lastModifiedBy>
  <dcterms:modified xsi:type="dcterms:W3CDTF">2023-12-02T06:09:42Z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E7EFFB4779344FCBAE6B26F4F50EBD58</vt:lpwstr>
  </property>
</Properties>
</file>