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4"/>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视觉传达设计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350102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pacing w:val="-20"/>
                <w:sz w:val="32"/>
                <w:szCs w:val="32"/>
                <w:lang w:bidi="ar"/>
              </w:rPr>
              <w:t>专业负责人</w:t>
            </w:r>
            <w:r>
              <w:rPr>
                <w:rFonts w:ascii="Times New Roman" w:hAnsi="Times New Roman" w:eastAsia="仿宋_GB2312" w:cs="Times New Roman"/>
                <w:sz w:val="32"/>
                <w:szCs w:val="32"/>
                <w:lang w:bidi="ar"/>
              </w:rPr>
              <w:t>：</w:t>
            </w:r>
          </w:p>
        </w:tc>
        <w:tc>
          <w:tcPr>
            <w:tcW w:w="3891" w:type="dxa"/>
          </w:tcPr>
          <w:p>
            <w:pPr>
              <w:widowControl/>
              <w:overflowPunct w:val="0"/>
              <w:adjustRightInd w:val="0"/>
              <w:jc w:val="center"/>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tcPr>
          <w:p>
            <w:pPr>
              <w:widowControl/>
              <w:overflowPunct w:val="0"/>
              <w:adjustRightInd w:val="0"/>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18601336955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tcPr>
          <w:p>
            <w:pPr>
              <w:widowControl/>
              <w:overflowPunct w:val="0"/>
              <w:adjustRightInd w:val="0"/>
              <w:jc w:val="right"/>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13"/>
        <w:rPr>
          <w:rFonts w:ascii="Times New Roman" w:hAnsi="Times New Roman" w:eastAsia="楷体_GB2312" w:cs="Times New Roman"/>
          <w:sz w:val="32"/>
          <w:szCs w:val="32"/>
          <w:lang w:bidi="ar"/>
        </w:rPr>
      </w:pPr>
    </w:p>
    <w:p>
      <w:pPr>
        <w:pStyle w:val="1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sectPr>
          <w:footerReference r:id="rId4" w:type="first"/>
          <w:footerReference r:id="rId3" w:type="default"/>
          <w:pgSz w:w="11906" w:h="16838"/>
          <w:pgMar w:top="1440" w:right="1803" w:bottom="1440" w:left="1803" w:header="851" w:footer="850" w:gutter="0"/>
          <w:pgBorders>
            <w:top w:val="none" w:sz="0" w:space="0"/>
            <w:left w:val="none" w:sz="0" w:space="0"/>
            <w:bottom w:val="none" w:sz="0" w:space="0"/>
            <w:right w:val="none" w:sz="0" w:space="0"/>
          </w:pgBorders>
          <w:cols w:space="720" w:num="1"/>
          <w:titlePg/>
          <w:docGrid w:type="lines" w:linePitch="579" w:charSpace="21679"/>
        </w:sect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pPr>
    </w:p>
    <w:p>
      <w:pPr>
        <w:jc w:val="center"/>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填表说明</w:t>
      </w:r>
    </w:p>
    <w:p>
      <w:pPr>
        <w:jc w:val="center"/>
        <w:rPr>
          <w:rFonts w:ascii="Times New Roman" w:hAnsi="Times New Roman" w:eastAsia="仿宋_GB2312" w:cs="Times New Roman"/>
          <w:sz w:val="32"/>
          <w:szCs w:val="32"/>
          <w:lang w:bidi="ar"/>
        </w:rPr>
      </w:pP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1.本表用于各学校填报新增拟招生的高职本科教育专业信息。</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3.表中所填内容要言简意，双面打印，单独装订。</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4.学校承诺本表所填师资、办学条件等基本情况真实、准确，如有虚假，一经赅，如有需要可另附报告，一个专业对应的报告单独一册发现，严肃处理。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Borders>
            <w:top w:val="none" w:sz="0" w:space="0"/>
            <w:left w:val="none" w:sz="0" w:space="0"/>
            <w:bottom w:val="none" w:sz="0" w:space="0"/>
            <w:right w:val="none" w:sz="0" w:space="0"/>
          </w:pgBorders>
          <w:pgNumType w:start="1"/>
          <w:cols w:space="720" w:num="1"/>
          <w:titlePg/>
          <w:docGrid w:type="lines" w:linePitch="579" w:charSpace="21679"/>
        </w:sectPr>
      </w:pPr>
    </w:p>
    <w:tbl>
      <w:tblPr>
        <w:tblStyle w:val="11"/>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1"/>
        <w:gridCol w:w="1606"/>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5"/>
            <w:vAlign w:val="center"/>
          </w:tcPr>
          <w:p>
            <w:pPr>
              <w:snapToGrid w:val="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拟招生专业名称</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视觉传达设计</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791"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350102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办学性质</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民办</w:t>
            </w:r>
          </w:p>
        </w:tc>
        <w:tc>
          <w:tcPr>
            <w:tcW w:w="264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学位授予学科门类</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4</w:t>
            </w:r>
            <w:r>
              <w:rPr>
                <w:rFonts w:ascii="Times New Roman" w:hAnsi="Times New Roman" w:eastAsia="仿宋_GB2312" w:cs="Times New Roman"/>
                <w:sz w:val="24"/>
                <w:szCs w:val="24"/>
              </w:rPr>
              <w:t>年拟招生数（人）</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200</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学制</w:t>
            </w:r>
          </w:p>
        </w:tc>
        <w:tc>
          <w:tcPr>
            <w:tcW w:w="1791"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四年制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总学时</w:t>
            </w:r>
          </w:p>
        </w:tc>
        <w:tc>
          <w:tcPr>
            <w:tcW w:w="1606"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3148</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实践教学学时</w:t>
            </w:r>
          </w:p>
        </w:tc>
        <w:tc>
          <w:tcPr>
            <w:tcW w:w="1791"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实践教学学时占总学时的比例</w:t>
            </w:r>
          </w:p>
        </w:tc>
        <w:tc>
          <w:tcPr>
            <w:tcW w:w="1606"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60.29%</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实验实训项目（任务）能够开出率（%）</w:t>
            </w:r>
          </w:p>
        </w:tc>
        <w:tc>
          <w:tcPr>
            <w:tcW w:w="1791"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“双师型”教师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占比（%）</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66.67</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兼职教师数（人）</w:t>
            </w:r>
          </w:p>
        </w:tc>
        <w:tc>
          <w:tcPr>
            <w:tcW w:w="1791"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兼职教师计划承担的专业课授课学时占专业课总学时比例（%）</w:t>
            </w:r>
          </w:p>
        </w:tc>
        <w:tc>
          <w:tcPr>
            <w:tcW w:w="1606"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28.72</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是否有省级及以上教育行政部门等认定的高水平教师教学（科研）创新团队</w:t>
            </w:r>
          </w:p>
        </w:tc>
        <w:tc>
          <w:tcPr>
            <w:tcW w:w="1791" w:type="dxa"/>
            <w:vAlign w:val="center"/>
          </w:tcPr>
          <w:p>
            <w:pPr>
              <w:snapToGrid w:val="0"/>
              <w:jc w:val="center"/>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省级及以上教学名师数量（人）</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省级及以上教学领域有关奖励数量（项）</w:t>
            </w:r>
          </w:p>
        </w:tc>
        <w:tc>
          <w:tcPr>
            <w:tcW w:w="1791" w:type="dxa"/>
            <w:vAlign w:val="center"/>
          </w:tcPr>
          <w:p>
            <w:pPr>
              <w:snapToGrid w:val="0"/>
              <w:jc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生均教学科研仪器设备值（万元）</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是否有省级及以上技术研发推广平台</w:t>
            </w:r>
          </w:p>
        </w:tc>
        <w:tc>
          <w:tcPr>
            <w:tcW w:w="1791"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8732" w:type="dxa"/>
            <w:gridSpan w:val="5"/>
            <w:tcBorders>
              <w:bottom w:val="single" w:color="000000" w:sz="4" w:space="0"/>
            </w:tcBorders>
            <w:vAlign w:val="center"/>
          </w:tcPr>
          <w:p>
            <w:pPr>
              <w:snapToGrid w:val="0"/>
              <w:jc w:val="left"/>
              <w:rPr>
                <w:rFonts w:hint="eastAsia" w:ascii="Times New Roman" w:hAnsi="Times New Roman" w:eastAsia="仿宋_GB2312" w:cs="Times New Roman"/>
                <w:sz w:val="24"/>
                <w:szCs w:val="24"/>
                <w:lang w:eastAsia="zh-CN"/>
              </w:rPr>
            </w:pPr>
            <w:r>
              <w:rPr>
                <w:rFonts w:ascii="Times New Roman" w:hAnsi="Times New Roman" w:eastAsia="仿宋_GB2312" w:cs="Times New Roman"/>
                <w:b/>
                <w:bCs/>
                <w:sz w:val="24"/>
                <w:szCs w:val="24"/>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sz w:val="24"/>
                <w:szCs w:val="24"/>
              </w:rPr>
              <w:t>广告艺术设计</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550113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专业开设时间</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sz w:val="24"/>
                <w:szCs w:val="24"/>
              </w:rPr>
              <w:t>2006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是否为省级以上</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本专业全日制</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在校生数（人）</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181</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本专业专任教师</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专任教师与全日制</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在校生人数之比</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1：13.92</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高级职称专任教师</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具有研究生学位</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专任教师比例（%）</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75</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年度面向行业企业和社会开展职业</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培训人次</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380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年度招生计划</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年度新生</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报到率（%）</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年度应届生</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0" w:hRule="atLeast"/>
          <w:jc w:val="center"/>
        </w:trPr>
        <w:tc>
          <w:tcPr>
            <w:tcW w:w="888" w:type="dxa"/>
            <w:vAlign w:val="center"/>
          </w:tcPr>
          <w:p>
            <w:pPr>
              <w:snapToGrid w:val="0"/>
              <w:jc w:val="center"/>
              <w:rPr>
                <w:rFonts w:ascii="Times New Roman" w:hAnsi="Times New Roman" w:eastAsia="方正仿宋简体" w:cs="Times New Roman"/>
                <w:sz w:val="24"/>
                <w:szCs w:val="24"/>
              </w:rPr>
            </w:pPr>
            <w:r>
              <w:rPr>
                <w:rFonts w:ascii="Times New Roman" w:hAnsi="Times New Roman" w:eastAsia="仿宋_GB2312" w:cs="Times New Roman"/>
                <w:position w:val="6"/>
                <w:sz w:val="24"/>
                <w:szCs w:val="24"/>
              </w:rPr>
              <w:t>拟招生专业设置可行性</w:t>
            </w:r>
          </w:p>
        </w:tc>
        <w:tc>
          <w:tcPr>
            <w:tcW w:w="7844" w:type="dxa"/>
            <w:gridSpan w:val="4"/>
          </w:tcPr>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rPr>
            </w:pPr>
            <w:r>
              <w:rPr>
                <w:rFonts w:hint="eastAsia" w:ascii="黑体" w:hAnsi="黑体" w:eastAsia="黑体" w:cs="黑体"/>
                <w:kern w:val="2"/>
                <w:sz w:val="28"/>
                <w:szCs w:val="28"/>
                <w:lang w:val="en-US" w:eastAsia="zh-CN" w:bidi="ar-SA"/>
              </w:rPr>
              <w:t>一、</w:t>
            </w:r>
            <w:r>
              <w:rPr>
                <w:rFonts w:hint="eastAsia" w:ascii="黑体" w:hAnsi="黑体" w:eastAsia="黑体" w:cs="黑体"/>
                <w:sz w:val="28"/>
                <w:szCs w:val="28"/>
                <w:lang w:val="en-US" w:eastAsia="zh-CN"/>
              </w:rPr>
              <w:t>社会需求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（一）优化广西高等职业教育专业结构，提升教育服务能力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崇左市仅2所本科院校开设视觉传达设计专业。随着东盟经济圈、北部湾经济区和崇左边境教育的推进，新发展新业态对新职业提出了新需求。设置本科视觉传达设计专业，既有利于优化广西高等</w:t>
            </w:r>
            <w:bookmarkStart w:id="0" w:name="_GoBack"/>
            <w:bookmarkEnd w:id="0"/>
            <w:r>
              <w:rPr>
                <w:rFonts w:hint="eastAsia" w:ascii="仿宋" w:hAnsi="仿宋" w:eastAsia="仿宋" w:cs="仿宋"/>
                <w:sz w:val="28"/>
                <w:szCs w:val="28"/>
                <w:lang w:val="en-US" w:eastAsia="zh-CN"/>
              </w:rPr>
              <w:t>职业教育专业布局结构，提升教育服务能力；又可遵循职业教育规律和人才成长规律，满足广大考生接受高等教育的愿望和要求。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（二）服务现代化经济发展，实现高质量就业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黑体" w:hAnsi="黑体" w:eastAsia="黑体" w:cs="黑体"/>
                <w:sz w:val="28"/>
                <w:szCs w:val="28"/>
                <w:lang w:val="en-US" w:eastAsia="zh-CN"/>
              </w:rPr>
            </w:pPr>
            <w:r>
              <w:rPr>
                <w:rFonts w:hint="eastAsia" w:ascii="仿宋" w:hAnsi="仿宋" w:eastAsia="仿宋" w:cs="仿宋"/>
                <w:sz w:val="28"/>
                <w:szCs w:val="28"/>
                <w:lang w:val="en-US" w:eastAsia="zh-CN"/>
              </w:rPr>
              <w:t>随着新媒体时代的来临，数字化技术与信息技术为</w:t>
            </w:r>
            <w:r>
              <w:rPr>
                <w:rFonts w:hint="eastAsia" w:ascii="仿宋" w:hAnsi="仿宋" w:eastAsia="仿宋" w:cs="仿宋"/>
                <w:sz w:val="28"/>
                <w:szCs w:val="28"/>
                <w:highlight w:val="none"/>
                <w:lang w:val="en-US" w:eastAsia="zh-CN"/>
              </w:rPr>
              <w:t>国家和区域经济</w:t>
            </w:r>
            <w:r>
              <w:rPr>
                <w:rFonts w:hint="eastAsia" w:ascii="仿宋" w:hAnsi="仿宋" w:eastAsia="仿宋" w:cs="仿宋"/>
                <w:sz w:val="28"/>
                <w:szCs w:val="28"/>
                <w:lang w:val="en-US" w:eastAsia="zh-CN"/>
              </w:rPr>
              <w:t>提供了更加广阔的发展空间，我校积极顺应新一轮科技革命和产业变革，科学确立视觉传达设计专业人才培养思路，为国家社会经济的发展建设提供强有力的人才保障。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二、办学条件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（一）办学基础</w:t>
            </w: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本专业教学设施配套齐全，实训场所功能完善，已形成学</w:t>
            </w:r>
          </w:p>
          <w:p>
            <w:pPr>
              <w:pStyle w:val="10"/>
              <w:keepNext w:val="0"/>
              <w:keepLines/>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习氛围浓郁，教育成果丰硕的良好发展态势。为遵循技术技能人才成长规律，突出知识与技能的高层次，在原有的广告设计专业基础上建成民族艺术（花山岩画）文化传承创新职业教育基地等省级技术研发推广平台</w:t>
            </w:r>
            <w:r>
              <w:rPr>
                <w:rFonts w:hint="eastAsia" w:ascii="仿宋" w:hAnsi="仿宋" w:eastAsia="仿宋" w:cs="仿宋"/>
                <w:kern w:val="2"/>
                <w:sz w:val="28"/>
                <w:szCs w:val="28"/>
                <w:highlight w:val="none"/>
                <w:lang w:val="en-US" w:eastAsia="zh-CN" w:bidi="ar-SA"/>
              </w:rPr>
              <w:t>和结构合理、设施设备齐全的大型校内（34间）校外（5个）综合性教学实训基地</w:t>
            </w:r>
            <w:r>
              <w:rPr>
                <w:rFonts w:hint="eastAsia" w:ascii="仿宋" w:hAnsi="仿宋" w:eastAsia="仿宋" w:cs="仿宋"/>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（二）专业特色</w:t>
            </w:r>
          </w:p>
          <w:p>
            <w:pPr>
              <w:keepNext w:val="0"/>
              <w:keepLines/>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培养定位中依托广告艺术设计专业的学科优势，注重培养学生艺术表现、技术实践与设计项目管理能力。建设“项目+工作室制”的人才培养模式，以项目为导向、工作室为依托，构建以科创实践为特色的课程体系；校内课程与职业证书考核相融通，进一步提高学生的就业率；积极构建课堂+校企结合的教学环境，依托实训室进行专业技术技能仿真训练，带动学生主动参与，不断培养设计创新、技能操作、团队协作、环境适应能力，增强行业经验提升技能水平。</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（三）培养目标</w:t>
            </w: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本科层次职业教育专业设置管理办法（试行）》，以本科教育需求细化分析为依据，完善人才培养方案、丰富课程体系建设和强化创新应用能力，增强设计类人才培养诸要素之间的动态平衡。通过实际项目和虚拟项目的结合，加强校企合作，开阔学生眼界，使学生学会依据专业知识进行设计实践，并具备一定的行业动向分析能力。培养有职业精神、能沟通、懂设计、会制作的高层次技术技能人才。</w:t>
            </w:r>
          </w:p>
          <w:p>
            <w:pPr>
              <w:keepNext w:val="0"/>
              <w:keepLines/>
              <w:pageBreakBefore w:val="0"/>
              <w:widowControl w:val="0"/>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三、保障措施</w:t>
            </w:r>
          </w:p>
          <w:p>
            <w:pPr>
              <w:keepNext w:val="0"/>
              <w:keepLines/>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lang w:val="en-US"/>
              </w:rPr>
            </w:pPr>
            <w:r>
              <w:rPr>
                <w:rFonts w:hint="eastAsia" w:ascii="仿宋" w:hAnsi="仿宋" w:eastAsia="仿宋" w:cs="仿宋"/>
                <w:kern w:val="2"/>
                <w:sz w:val="28"/>
                <w:szCs w:val="28"/>
                <w:lang w:val="en-US" w:eastAsia="zh-CN" w:bidi="ar-SA"/>
              </w:rPr>
              <w:t>建立健全专业建设领导机构，成立专业建设指导委员会，组建专业发展规划小组，指定责任人和带头人，明确分工落实责任。建立以办学主管部门、用人单位、就业学生等为主体的人才培养质量评价机制，把毕业生就业率、就业质量、企业满意度作为衡量人才培养质量的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1"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教师队伍</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情况要点</w:t>
            </w:r>
          </w:p>
        </w:tc>
        <w:tc>
          <w:tcPr>
            <w:tcW w:w="7844" w:type="dxa"/>
            <w:gridSpan w:val="4"/>
          </w:tcPr>
          <w:p>
            <w:pPr>
              <w:snapToGrid w:val="0"/>
              <w:jc w:val="left"/>
              <w:rPr>
                <w:rFonts w:ascii="Times New Roman" w:hAnsi="Times New Roman" w:eastAsia="方正仿宋简体" w:cs="Times New Roman"/>
                <w:sz w:val="18"/>
                <w:szCs w:val="18"/>
              </w:rPr>
            </w:pP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已建立师德高尚、业务精湛、善于学习、结构合理、人员稳定的师资队伍。</w:t>
            </w: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十多年来，我校通过培养、引进、聘请、园校合作等方式，多渠道建设师资队伍。截至目前，视觉传达设计专业教师共12人（不含兼职教师3人），均为专任教师。专任教师中，副高级及以上职称6人，占比50%；具有研究生学历9人，占比75%；具有博士学历3人，占比25%；“双师型”教师8人，占比66.67%，完全能满足新专业教育教学需要。</w:t>
            </w: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（二）来自行业企业一线的兼职教师3人，主要担任</w:t>
            </w:r>
            <w:r>
              <w:rPr>
                <w:rFonts w:hint="default" w:ascii="仿宋" w:hAnsi="仿宋" w:eastAsia="仿宋" w:cs="仿宋"/>
                <w:kern w:val="2"/>
                <w:sz w:val="28"/>
                <w:szCs w:val="28"/>
                <w:lang w:val="en-US" w:eastAsia="zh-CN" w:bidi="ar-SA"/>
              </w:rPr>
              <w:t>字体设计、</w:t>
            </w:r>
            <w:r>
              <w:rPr>
                <w:rFonts w:hint="eastAsia" w:ascii="仿宋" w:hAnsi="仿宋" w:eastAsia="仿宋" w:cs="仿宋"/>
                <w:kern w:val="2"/>
                <w:sz w:val="28"/>
                <w:szCs w:val="28"/>
                <w:lang w:val="en-US" w:eastAsia="zh-CN" w:bidi="ar-SA"/>
              </w:rPr>
              <w:t>标志设计、包装设计、UI设计、摄影基础、插画设计、新媒体运营与营销、</w:t>
            </w:r>
            <w:r>
              <w:rPr>
                <w:rFonts w:hint="default" w:ascii="仿宋" w:hAnsi="仿宋" w:eastAsia="仿宋" w:cs="仿宋"/>
                <w:kern w:val="2"/>
                <w:sz w:val="28"/>
                <w:szCs w:val="28"/>
                <w:lang w:val="en-US" w:eastAsia="zh-CN" w:bidi="ar-SA"/>
              </w:rPr>
              <w:t>数字媒体艺术（交互设计方向）</w:t>
            </w:r>
            <w:r>
              <w:rPr>
                <w:rFonts w:hint="eastAsia" w:ascii="仿宋" w:hAnsi="仿宋" w:eastAsia="仿宋" w:cs="仿宋"/>
                <w:kern w:val="2"/>
                <w:sz w:val="28"/>
                <w:szCs w:val="28"/>
                <w:lang w:val="en-US" w:eastAsia="zh-CN" w:bidi="ar-SA"/>
              </w:rPr>
              <w:t>实质性专业教学任务。目前，兼职教师队伍稳定，所承担的专业课教学任务授课课时为专业课总课时的28.72%。</w:t>
            </w: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依托省级技术研发推广平台——民族艺术（花山岩画）文化传承创新职业教育基地建立了教师教学（科研）创新团队。2019年以德树人为根本任务的高职院校“三位一体”文化育人体系构建与实践获自治区教学成果二等奖。</w:t>
            </w:r>
          </w:p>
          <w:p>
            <w:pPr>
              <w:pStyle w:val="13"/>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Cs w:val="28"/>
                <w:highlight w:val="none"/>
                <w:lang w:val="en-US" w:eastAsia="zh-CN" w:bidi="ar-SA"/>
              </w:rPr>
            </w:pPr>
            <w:r>
              <w:rPr>
                <w:rFonts w:hint="eastAsia" w:ascii="仿宋" w:hAnsi="仿宋" w:eastAsia="仿宋" w:cs="仿宋"/>
                <w:kern w:val="2"/>
                <w:sz w:val="28"/>
                <w:szCs w:val="28"/>
                <w:lang w:val="en-US" w:eastAsia="zh-CN" w:bidi="ar-SA"/>
              </w:rPr>
              <w:t>（四）</w:t>
            </w:r>
            <w:r>
              <w:rPr>
                <w:rFonts w:hint="default" w:ascii="仿宋" w:hAnsi="仿宋" w:eastAsia="仿宋" w:cs="仿宋"/>
                <w:kern w:val="2"/>
                <w:sz w:val="28"/>
                <w:szCs w:val="28"/>
                <w:lang w:val="en-US" w:eastAsia="zh-CN" w:bidi="ar-SA"/>
              </w:rPr>
              <w:t>专业带头人黄本，男，高级工程师</w:t>
            </w:r>
            <w:r>
              <w:rPr>
                <w:rFonts w:hint="eastAsia" w:ascii="仿宋" w:hAnsi="仿宋" w:eastAsia="仿宋" w:cs="仿宋"/>
                <w:kern w:val="2"/>
                <w:sz w:val="28"/>
                <w:szCs w:val="28"/>
                <w:lang w:val="en-US" w:eastAsia="zh-CN" w:bidi="ar-SA"/>
              </w:rPr>
              <w:t>，</w:t>
            </w:r>
            <w:r>
              <w:rPr>
                <w:rFonts w:hint="default" w:ascii="仿宋" w:hAnsi="仿宋" w:eastAsia="仿宋" w:cs="仿宋"/>
                <w:kern w:val="2"/>
                <w:sz w:val="28"/>
                <w:szCs w:val="28"/>
                <w:lang w:val="en-US" w:eastAsia="zh-CN" w:bidi="ar-SA"/>
              </w:rPr>
              <w:t>属“双师型”教师，具有丰富的教学与科研经验，在专业建设中致力于艺术设计团队的建设工作，先后获得2011至2012年度十大最具影响力设计师、“设计影响中国”2013至2014年度十佳优秀作品奖、等奖项，在设计研究领域具有丰富的教学经验和一定的社会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专业人才</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培养方案要点</w:t>
            </w:r>
          </w:p>
        </w:tc>
        <w:tc>
          <w:tcPr>
            <w:tcW w:w="7844" w:type="dxa"/>
            <w:gridSpan w:val="4"/>
          </w:tcPr>
          <w:p>
            <w:pPr>
              <w:keepNext w:val="0"/>
              <w:keepLines w:val="0"/>
              <w:pageBreakBefore w:val="0"/>
              <w:kinsoku/>
              <w:wordWrap/>
              <w:overflowPunct/>
              <w:topLinePunct w:val="0"/>
              <w:autoSpaceDE/>
              <w:autoSpaceDN/>
              <w:bidi w:val="0"/>
              <w:adjustRightInd/>
              <w:snapToGrid w:val="0"/>
              <w:spacing w:line="560" w:lineRule="exact"/>
              <w:ind w:firstLine="560" w:firstLineChars="200"/>
              <w:jc w:val="left"/>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校高度重视人才培养方案的制订，积极委派骨干教师外出到广西大学等视觉传达设计办学经验丰富的高校考察，实地调研专业发展走向和人才培养模式。在此基础上，搭建了我校视觉传达设计专业人才培养方案雏形，以教务处、艺术设计与文化传媒学院为主体，联合广西南宁恒德文化传播有限责任公司、南宁一棵树标识制作有限公司等部分校企合作单位共同进行深入研讨，制订了视觉传达设计专业人才培养方案。</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4"/>
                <w:szCs w:val="24"/>
              </w:rPr>
              <w:t>一</w:t>
            </w:r>
            <w:r>
              <w:rPr>
                <w:rFonts w:hint="eastAsia" w:ascii="黑体" w:hAnsi="黑体" w:eastAsia="黑体" w:cs="黑体"/>
                <w:sz w:val="28"/>
                <w:szCs w:val="28"/>
                <w:lang w:val="en-US" w:eastAsia="zh-CN"/>
              </w:rPr>
              <w:t>、专业定位</w:t>
            </w:r>
          </w:p>
          <w:p>
            <w:pPr>
              <w:keepNext w:val="0"/>
              <w:keepLines w:val="0"/>
              <w:pageBreakBefore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视觉传达设计专业围绕区域经济社会产业发展数字媒体行业，面向传统商业美术、网络多媒体艺术设计等领域，坚守“平媒兼顾、跨界多元立足区域”服务崇左文化媒体产业新业态、新模式，对接新职业，具备扎实的视觉设计基础，设计方法与软件操作技能，培养能在广告公司、传播机构、现代数字媒体公司等领域从事平面设计、企业形象设计、书籍装帧设计、包装设计、网页设计、电子图形图像处理工作的高层次技术技能人才。逐步形成有创新思路,能满足数字媒体经济高速发展的艺术类本科专业。</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仿宋" w:hAnsi="仿宋" w:eastAsia="仿宋" w:cs="仿宋"/>
                <w:kern w:val="2"/>
                <w:sz w:val="28"/>
                <w:szCs w:val="28"/>
                <w:lang w:val="en-US" w:eastAsia="zh-CN" w:bidi="ar-SA"/>
              </w:rPr>
            </w:pPr>
            <w:r>
              <w:rPr>
                <w:rFonts w:hint="eastAsia" w:ascii="黑体" w:hAnsi="黑体" w:eastAsia="黑体" w:cs="黑体"/>
                <w:sz w:val="28"/>
                <w:szCs w:val="28"/>
                <w:lang w:val="en-US" w:eastAsia="zh-CN"/>
              </w:rPr>
              <w:t>二、职业面向</w:t>
            </w:r>
          </w:p>
          <w:p>
            <w:pPr>
              <w:keepNext w:val="0"/>
              <w:keepLines w:val="0"/>
              <w:pageBreakBefore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学生在毕业后可以在广告公司、设计公司的平面设计部门担任平面设计师；在电视台、报社、杂志社、大型网站等媒体单位的平面设计部门担任美术编辑；在企事业单位的策划部门担任平面设计师等。与本专业有关的职位有平面设计师、广告创意设计、美术编辑、平面设计师、室内设计师、动画设计师等，会展策划师等。</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三、课程体系</w:t>
            </w:r>
          </w:p>
          <w:p>
            <w:pPr>
              <w:keepNext w:val="0"/>
              <w:keepLines w:val="0"/>
              <w:pageBreakBefore w:val="0"/>
              <w:kinsoku/>
              <w:wordWrap/>
              <w:overflowPunct/>
              <w:topLinePunct w:val="0"/>
              <w:autoSpaceDE/>
              <w:autoSpaceDN/>
              <w:bidi w:val="0"/>
              <w:adjustRightInd/>
              <w:snapToGrid w:val="0"/>
              <w:spacing w:line="560" w:lineRule="exact"/>
              <w:ind w:firstLine="560" w:firstLineChars="200"/>
              <w:jc w:val="left"/>
              <w:textAlignment w:val="auto"/>
              <w:rPr>
                <w:rFonts w:ascii="Times New Roman" w:hAnsi="Times New Roman" w:eastAsia="方正仿宋简体" w:cs="Times New Roman"/>
                <w:sz w:val="18"/>
                <w:szCs w:val="18"/>
              </w:rPr>
            </w:pPr>
            <w:r>
              <w:rPr>
                <w:rFonts w:hint="eastAsia" w:ascii="仿宋" w:hAnsi="仿宋" w:eastAsia="仿宋" w:cs="仿宋"/>
                <w:kern w:val="2"/>
                <w:sz w:val="28"/>
                <w:szCs w:val="28"/>
                <w:lang w:val="en-US" w:eastAsia="zh-CN" w:bidi="ar-SA"/>
              </w:rPr>
              <w:t>视觉传达设计专业职业本科课程体系开发，是以毕业生职业岗位群典型工作任务为目标，以典型目标产品生产过程为导向，分解职业岗位群的工作任务及工作能力需求，将岗位任务和能力需求分解为不同阶段的若干个职业能力模块为依据。同时，基于工作过程设置职业技能考证课程或培训，实行1+X证书制度，鼓励学生在获得学历证书的同时，积极取得多类职业技能等级证书，能够通过课程的学习和企业的实践。</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四、人才培养模式</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Times New Roman" w:hAnsi="Times New Roman" w:eastAsia="方正仿宋简体" w:cs="Times New Roman"/>
                <w:sz w:val="18"/>
                <w:szCs w:val="18"/>
              </w:rPr>
            </w:pPr>
            <w:r>
              <w:rPr>
                <w:rFonts w:hint="eastAsia" w:ascii="仿宋" w:hAnsi="仿宋" w:eastAsia="仿宋" w:cs="仿宋"/>
                <w:kern w:val="2"/>
                <w:sz w:val="28"/>
                <w:szCs w:val="28"/>
                <w:lang w:val="en-US" w:eastAsia="zh-CN" w:bidi="ar-SA"/>
              </w:rPr>
              <w:t>采用“项目+工作室”制培养模式，以项目为导向，工作室为依托，构建以职业需求为导向、以职业能力为核心、以科创实践为特色的课程体系。校内课程与职业等级证书考核相连接，实现课证融通，进一步提高学生职业能力，培养符合岗位需求的高层次技术技能人才。通过实际项目和虚拟项目的结合，让学生在校内就可以承接和完成项目，在工作室中实现工学结合，提高学生的实践动手能力、创新能力、社交能力，培养学生的专业精神、职业精神和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办学条件概要</w:t>
            </w:r>
          </w:p>
        </w:tc>
        <w:tc>
          <w:tcPr>
            <w:tcW w:w="7844" w:type="dxa"/>
            <w:gridSpan w:val="4"/>
            <w:vAlign w:val="top"/>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eastAsia="宋体"/>
              </w:rPr>
            </w:pPr>
            <w:r>
              <w:rPr>
                <w:rFonts w:hint="eastAsia" w:ascii="黑体" w:hAnsi="黑体" w:eastAsia="黑体" w:cs="黑体"/>
                <w:sz w:val="28"/>
                <w:szCs w:val="28"/>
                <w:lang w:val="en-US" w:eastAsia="zh-CN"/>
              </w:rPr>
              <w:t>一、具备开办专业所需的实习条件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学校基础设施齐全，已建成结构合理、设施齐全的大型校内综合性教学实训基地。现有广告综合实训室2间共计600余平方、多媒体教室11间、画室7间、专业机房7间、工程项目及软件实训室3间、播音实训室2间、精雕实训室1间、手工制作室1间，共计投入经费400多万,生均教学科研仪器设备值达2万元。</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二、积极推进产教融合，建立稳定校企合作关系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深化校企合作，完善“校内外实训、岗位实习”运行机制建设，增强专业服务能力及社会影响力。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构建广西职业本科院校校企合作信息化平台和联合研发平台的探索；加强实训教育基地和企业产业基地建设实践，构建实践课程体系，探索实践教学途径；举办校企合作大赛、专项比赛等系列第二课堂模式探索；开展校企合作特色课程实践教学改革和大学生走进企业的校企合作模式探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不断完善UV打印机实训室1</w:t>
            </w:r>
            <w:r>
              <w:rPr>
                <w:rFonts w:hint="eastAsia" w:ascii="仿宋" w:hAnsi="仿宋" w:eastAsia="仿宋" w:cs="仿宋"/>
                <w:b w:val="0"/>
                <w:bCs w:val="0"/>
                <w:kern w:val="2"/>
                <w:sz w:val="28"/>
                <w:szCs w:val="28"/>
                <w:lang w:val="en-US" w:eastAsia="zh-Hans" w:bidi="ar-SA"/>
              </w:rPr>
              <w:t>间</w:t>
            </w:r>
            <w:r>
              <w:rPr>
                <w:rFonts w:hint="eastAsia" w:ascii="仿宋" w:hAnsi="仿宋" w:eastAsia="仿宋" w:cs="仿宋"/>
                <w:b w:val="0"/>
                <w:bCs w:val="0"/>
                <w:kern w:val="2"/>
                <w:sz w:val="28"/>
                <w:szCs w:val="28"/>
                <w:lang w:val="en-US" w:eastAsia="zh-CN" w:bidi="ar-SA"/>
              </w:rPr>
              <w:t>、逐步建设完成视觉传达设计工作室2间、基础教学</w:t>
            </w:r>
            <w:r>
              <w:rPr>
                <w:rFonts w:hint="eastAsia" w:ascii="仿宋" w:hAnsi="仿宋" w:eastAsia="仿宋" w:cs="仿宋"/>
                <w:b w:val="0"/>
                <w:bCs w:val="0"/>
                <w:kern w:val="2"/>
                <w:sz w:val="28"/>
                <w:szCs w:val="28"/>
                <w:lang w:val="en-US" w:eastAsia="zh-Hans" w:bidi="ar-SA"/>
              </w:rPr>
              <w:t>实训</w:t>
            </w:r>
            <w:r>
              <w:rPr>
                <w:rFonts w:hint="eastAsia" w:ascii="仿宋" w:hAnsi="仿宋" w:eastAsia="仿宋" w:cs="仿宋"/>
                <w:b w:val="0"/>
                <w:bCs w:val="0"/>
                <w:kern w:val="2"/>
                <w:sz w:val="28"/>
                <w:szCs w:val="28"/>
                <w:lang w:val="en-US" w:eastAsia="zh-CN" w:bidi="ar-SA"/>
              </w:rPr>
              <w:t>室2间；依托校企联合与优质培训机构合作，新增5个校外实训教学基地。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深化校企合作理事会组织建设，完善运行机制，共同合作进行专业共建、课程开发、制定教学计划等；在教学内容中，引入企业技术标准、职业资格标准以及新工艺与新技术等内容，从而实现教学内容与企业生产的直接对接；通过鼓励学校教师到企业参加研习活动（短期/中期/长期）提升教师专业能力；引进业界有工作经验的人才充实教师队伍；促成专业教师与企业合作开展科研课题工作。</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三、专业建设经费稳定增长，保障专业发展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保证专业建设经费投入，包括专业教学设备、实训基地等基础设施建设、师资队伍建设、课程与教材建设、专业教学研究与改革、科研的投入等。按照我校财务规章制度的要求，完善学院专业建设专项资金管理办法实施细则，设立专门的账户，科学预算、严格实行专款专用，确保专项资金使用的严肃性和合理性，使资金的使用发挥最大效益。</w:t>
            </w:r>
          </w:p>
          <w:p>
            <w:pPr>
              <w:pStyle w:val="3"/>
              <w:rPr>
                <w:rFonts w:hint="eastAsia"/>
                <w:lang w:val="en-US" w:eastAsia="zh-CN"/>
              </w:rPr>
            </w:pPr>
          </w:p>
          <w:p>
            <w:pPr>
              <w:pStyle w:val="3"/>
              <w:rPr>
                <w:rFonts w:hint="eastAsia" w:ascii="仿宋" w:hAnsi="仿宋" w:eastAsia="仿宋" w:cs="仿宋"/>
                <w:b w:val="0"/>
                <w:bCs w:val="0"/>
                <w:kern w:val="2"/>
                <w:sz w:val="28"/>
                <w:szCs w:val="28"/>
                <w:lang w:val="en-US" w:eastAsia="zh-CN" w:bidi="ar-SA"/>
              </w:rPr>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技术研发与社会服务基础概要</w:t>
            </w:r>
          </w:p>
        </w:tc>
        <w:tc>
          <w:tcPr>
            <w:tcW w:w="7844" w:type="dxa"/>
            <w:gridSpan w:val="4"/>
            <w:vAlign w:val="top"/>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一、科研建设情况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我校视觉传达设计专业积极组织教师申报课题。近年来依托专业教学团队参与教改、科研项目共50项，教改课题24项，其中省级课题3项；科研项目26项，其中市厅级以上项目12项；专利20项。在学术论文发表方面，教师公开发表论文共50篇。在教学比赛领域方面，教师获省级以上教师领域25项，其中国家级10项省级15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目前，</w:t>
            </w:r>
            <w:r>
              <w:rPr>
                <w:rFonts w:hint="eastAsia" w:ascii="仿宋" w:hAnsi="仿宋" w:eastAsia="仿宋" w:cs="仿宋"/>
                <w:b w:val="0"/>
                <w:bCs w:val="0"/>
                <w:kern w:val="2"/>
                <w:sz w:val="28"/>
                <w:szCs w:val="28"/>
                <w:highlight w:val="none"/>
                <w:lang w:val="en-US" w:eastAsia="zh-CN" w:bidi="ar-SA"/>
              </w:rPr>
              <w:t>视觉传达设计专业师资团队</w:t>
            </w:r>
            <w:r>
              <w:rPr>
                <w:rFonts w:hint="eastAsia" w:ascii="仿宋" w:hAnsi="仿宋" w:eastAsia="仿宋" w:cs="仿宋"/>
                <w:b w:val="0"/>
                <w:bCs w:val="0"/>
                <w:kern w:val="2"/>
                <w:sz w:val="28"/>
                <w:szCs w:val="28"/>
                <w:lang w:val="en-US" w:eastAsia="zh-CN" w:bidi="ar-SA"/>
              </w:rPr>
              <w:t>在职称结构、学历结构、年龄结构、学缘结构合理，已形成具有较高教学水平和科研能力的师资队伍。</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二、社会服务情况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我校视觉传达设计专业积极组织师生参加各级各类社会活动。2018年6月至2023年7月，积极配合并参与了多项社会文化活动。利用地方高校的“学、研”优势，积极自动开展企业与学校合作，根据市场需求和经济发展趋势，研发新产品，形成</w:t>
            </w:r>
            <w:r>
              <w:rPr>
                <w:rFonts w:hint="default" w:ascii="仿宋" w:hAnsi="仿宋" w:eastAsia="仿宋" w:cs="仿宋"/>
                <w:b w:val="0"/>
                <w:bCs w:val="0"/>
                <w:kern w:val="2"/>
                <w:sz w:val="28"/>
                <w:szCs w:val="28"/>
                <w:lang w:val="en-US" w:eastAsia="zh-CN" w:bidi="ar-SA"/>
              </w:rPr>
              <w:t>“产、学、研、用、培”</w:t>
            </w:r>
            <w:r>
              <w:rPr>
                <w:rFonts w:hint="eastAsia" w:ascii="仿宋" w:hAnsi="仿宋" w:eastAsia="仿宋" w:cs="仿宋"/>
                <w:b w:val="0"/>
                <w:bCs w:val="0"/>
                <w:kern w:val="2"/>
                <w:sz w:val="28"/>
                <w:szCs w:val="28"/>
                <w:lang w:val="en-US" w:eastAsia="zh-CN" w:bidi="ar-SA"/>
              </w:rPr>
              <w:t>密切联系的教育模式。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简体" w:cs="Times New Roman"/>
                <w:sz w:val="18"/>
                <w:szCs w:val="18"/>
              </w:rPr>
            </w:pPr>
            <w:r>
              <w:rPr>
                <w:rFonts w:hint="eastAsia" w:ascii="仿宋" w:hAnsi="仿宋" w:eastAsia="仿宋" w:cs="仿宋"/>
                <w:b w:val="0"/>
                <w:bCs w:val="0"/>
                <w:kern w:val="2"/>
                <w:sz w:val="28"/>
                <w:szCs w:val="28"/>
                <w:lang w:val="en-US" w:eastAsia="zh-CN" w:bidi="ar-SA"/>
              </w:rPr>
              <w:t>本专业密切联系相关企业，如广西扶绥县聚仁和建筑装饰工程有限公司、崇左市亿腾建设工程有限公司等，双方本着“双赢”的原则密切合作,由企业方提供实践指导和实训实习场所，以项目为导向，学生在完成既定的作业之外，由校内教师牵头，企业设计人员指导，参与行企业的部分设计项目。在学以致用的前提下为企业输送了大量的新鲜血液，充实了企业的设计力量。而学生自身也得到了长足的锻炼,强化了专业技能，获得了社会的一致好评。2023年度面向行业企业和社会开展职业培训人数达380人次,是在校生人数的2.10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8" w:type="dxa"/>
            <w:vAlign w:val="center"/>
          </w:tcPr>
          <w:p>
            <w:pPr>
              <w:snapToGrid w:val="0"/>
              <w:jc w:val="center"/>
              <w:rPr>
                <w:rFonts w:ascii="Times New Roman" w:hAnsi="Times New Roman" w:eastAsia="仿宋_GB2312" w:cs="Times New Roman"/>
                <w:sz w:val="24"/>
                <w:szCs w:val="24"/>
              </w:rPr>
            </w:pPr>
          </w:p>
        </w:tc>
        <w:tc>
          <w:tcPr>
            <w:tcW w:w="7844" w:type="dxa"/>
            <w:gridSpan w:val="4"/>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三、在技术研发与社会服务上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有较好的技术研发和为社会服务基础。本专业教学设施配套齐全，实训场所功能完善，目前已建成民族艺术（花山岩画）文化传承创新职业教育基地等省级技术研发推广平台，和多个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结构合理、设施设备齐全的大型校内综合性教学实训基地。并以此为依托，逐步与我区行业企业共同开展科研和设计服务项目，使学生在实际工作中得到磨练，也为学校带来良好的社会效益。</w:t>
            </w:r>
          </w:p>
          <w:p>
            <w:pPr>
              <w:pStyle w:val="9"/>
              <w:keepNext w:val="0"/>
              <w:keepLines w:val="0"/>
              <w:pageBreakBefore w:val="0"/>
              <w:kinsoku/>
              <w:wordWrap/>
              <w:overflowPunct/>
              <w:topLinePunct w:val="0"/>
              <w:autoSpaceDE/>
              <w:autoSpaceDN/>
              <w:bidi w:val="0"/>
              <w:adjustRightInd/>
              <w:spacing w:line="560" w:lineRule="exact"/>
              <w:textAlignment w:val="auto"/>
              <w:rPr>
                <w:rFonts w:hint="eastAsia"/>
                <w:lang w:val="en-US" w:eastAsia="zh-CN"/>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p>
            <w:pPr>
              <w:pStyle w:val="6"/>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专家组评议意见</w:t>
            </w:r>
          </w:p>
        </w:tc>
        <w:tc>
          <w:tcPr>
            <w:tcW w:w="7844" w:type="dxa"/>
            <w:gridSpan w:val="4"/>
            <w:vAlign w:val="bottom"/>
          </w:tcPr>
          <w:p>
            <w:pPr>
              <w:snapToGrid w:val="0"/>
              <w:jc w:val="left"/>
              <w:rPr>
                <w:rFonts w:ascii="Times New Roman" w:hAnsi="Times New Roman" w:eastAsia="仿宋_GB2312" w:cs="Times New Roman"/>
                <w:szCs w:val="21"/>
              </w:rPr>
            </w:pPr>
            <w:r>
              <w:rPr>
                <w:rFonts w:ascii="Times New Roman" w:hAnsi="Times New Roman" w:eastAsia="仿宋_GB2312" w:cs="Times New Roman"/>
                <w:szCs w:val="21"/>
              </w:rPr>
              <w:t>（对应《办法》有关规定全面评议，不少于200字）</w:t>
            </w:r>
          </w:p>
          <w:p>
            <w:pPr>
              <w:snapToGrid w:val="0"/>
              <w:jc w:val="left"/>
              <w:rPr>
                <w:rFonts w:ascii="Times New Roman" w:hAnsi="Times New Roman" w:eastAsia="仿宋_GB2312" w:cs="Times New Roman"/>
                <w:sz w:val="18"/>
                <w:szCs w:val="18"/>
              </w:rPr>
            </w:pPr>
          </w:p>
          <w:p>
            <w:pPr>
              <w:pStyle w:val="9"/>
            </w:pPr>
          </w:p>
          <w:p>
            <w:pPr>
              <w:pStyle w:val="6"/>
            </w:pPr>
          </w:p>
          <w:p>
            <w:pPr>
              <w:pStyle w:val="6"/>
            </w:pPr>
          </w:p>
          <w:p>
            <w:pPr>
              <w:pStyle w:val="6"/>
            </w:pPr>
          </w:p>
          <w:p>
            <w:pPr>
              <w:snapToGrid w:val="0"/>
              <w:jc w:val="left"/>
              <w:rPr>
                <w:rFonts w:ascii="Times New Roman" w:hAnsi="Times New Roman" w:eastAsia="仿宋_GB2312" w:cs="Times New Roman"/>
                <w:sz w:val="18"/>
                <w:szCs w:val="18"/>
              </w:rPr>
            </w:pPr>
          </w:p>
          <w:p>
            <w:pPr>
              <w:pStyle w:val="2"/>
              <w:rPr>
                <w:rFonts w:ascii="Times New Roman" w:hAnsi="Times New Roman" w:eastAsia="仿宋_GB2312" w:cs="Times New Roman"/>
                <w:sz w:val="18"/>
                <w:szCs w:val="18"/>
              </w:rPr>
            </w:pPr>
          </w:p>
          <w:p>
            <w:pPr>
              <w:pStyle w:val="3"/>
              <w:rPr>
                <w:rFonts w:ascii="Times New Roman" w:hAnsi="Times New Roman" w:eastAsia="仿宋_GB2312" w:cs="Times New Roman"/>
                <w:sz w:val="18"/>
                <w:szCs w:val="18"/>
              </w:rPr>
            </w:pPr>
          </w:p>
          <w:p>
            <w:pPr>
              <w:rPr>
                <w:rFonts w:ascii="Times New Roman" w:hAnsi="Times New Roman" w:eastAsia="仿宋_GB2312" w:cs="Times New Roman"/>
                <w:sz w:val="18"/>
                <w:szCs w:val="18"/>
              </w:rPr>
            </w:pPr>
          </w:p>
          <w:p>
            <w:pPr>
              <w:pStyle w:val="2"/>
              <w:rPr>
                <w:rFonts w:ascii="Times New Roman" w:hAnsi="Times New Roman" w:eastAsia="仿宋_GB2312" w:cs="Times New Roman"/>
                <w:sz w:val="18"/>
                <w:szCs w:val="18"/>
              </w:rPr>
            </w:pPr>
          </w:p>
          <w:p>
            <w:pPr>
              <w:pStyle w:val="3"/>
              <w:rPr>
                <w:rFonts w:ascii="Times New Roman" w:hAnsi="Times New Roman" w:eastAsia="仿宋_GB2312" w:cs="Times New Roman"/>
                <w:sz w:val="18"/>
                <w:szCs w:val="18"/>
              </w:rPr>
            </w:pPr>
          </w:p>
          <w:p>
            <w:pPr>
              <w:rPr>
                <w:rFonts w:ascii="Times New Roman" w:hAnsi="Times New Roman" w:eastAsia="仿宋_GB2312" w:cs="Times New Roman"/>
                <w:sz w:val="18"/>
                <w:szCs w:val="18"/>
              </w:rPr>
            </w:pPr>
          </w:p>
          <w:p>
            <w:pPr>
              <w:pStyle w:val="2"/>
              <w:rPr>
                <w:rFonts w:ascii="Times New Roman" w:hAnsi="Times New Roman" w:eastAsia="仿宋_GB2312" w:cs="Times New Roman"/>
                <w:sz w:val="18"/>
                <w:szCs w:val="18"/>
              </w:rPr>
            </w:pPr>
          </w:p>
          <w:p>
            <w:pPr>
              <w:pStyle w:val="3"/>
              <w:rPr>
                <w:rFonts w:ascii="Times New Roman" w:hAnsi="Times New Roman" w:eastAsia="仿宋_GB2312" w:cs="Times New Roman"/>
                <w:sz w:val="18"/>
                <w:szCs w:val="18"/>
              </w:rPr>
            </w:pPr>
          </w:p>
          <w:p>
            <w:pPr>
              <w:rPr>
                <w:rFonts w:ascii="Times New Roman" w:hAnsi="Times New Roman" w:eastAsia="仿宋_GB2312" w:cs="Times New Roman"/>
                <w:sz w:val="18"/>
                <w:szCs w:val="18"/>
              </w:rPr>
            </w:pPr>
          </w:p>
          <w:p>
            <w:pPr>
              <w:pStyle w:val="2"/>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r>
              <w:rPr>
                <w:rFonts w:ascii="Times New Roman" w:hAnsi="Times New Roman" w:eastAsia="仿宋_GB2312" w:cs="Times New Roman"/>
                <w:sz w:val="24"/>
                <w:szCs w:val="24"/>
                <w:lang w:bidi="ar"/>
              </w:rPr>
              <w:tab/>
            </w:r>
          </w:p>
          <w:p>
            <w:pPr>
              <w:tabs>
                <w:tab w:val="left" w:pos="478"/>
              </w:tabs>
              <w:wordWrap w:val="0"/>
              <w:snapToGrid w:val="0"/>
              <w:ind w:firstLine="1440" w:firstLineChars="600"/>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 xml:space="preserve">专家组长签字：                                   </w:t>
            </w:r>
          </w:p>
          <w:p>
            <w:pPr>
              <w:snapToGrid w:val="0"/>
              <w:jc w:val="right"/>
              <w:rPr>
                <w:rFonts w:ascii="Times New Roman" w:hAnsi="Times New Roman" w:eastAsia="仿宋_GB2312" w:cs="Times New Roman"/>
                <w:szCs w:val="21"/>
                <w:lang w:bidi="ar"/>
              </w:rPr>
            </w:pPr>
          </w:p>
          <w:p>
            <w:pPr>
              <w:snapToGrid w:val="0"/>
              <w:jc w:val="right"/>
              <w:rPr>
                <w:rFonts w:ascii="Times New Roman" w:hAnsi="Times New Roman" w:eastAsia="仿宋_GB2312" w:cs="Times New Roman"/>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9" w:hRule="atLeast"/>
          <w:jc w:val="center"/>
        </w:trPr>
        <w:tc>
          <w:tcPr>
            <w:tcW w:w="888" w:type="dxa"/>
            <w:vAlign w:val="center"/>
          </w:tcPr>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省级教育行政部门复核意见</w:t>
            </w: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tc>
        <w:tc>
          <w:tcPr>
            <w:tcW w:w="7844" w:type="dxa"/>
            <w:gridSpan w:val="4"/>
            <w:vAlign w:val="bottom"/>
          </w:tcPr>
          <w:p>
            <w:pPr>
              <w:wordWrap w:val="0"/>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方正仿宋简体" w:cs="Times New Roman"/>
                <w:sz w:val="18"/>
                <w:szCs w:val="18"/>
                <w:lang w:bidi="ar"/>
              </w:rPr>
            </w:pPr>
          </w:p>
          <w:p>
            <w:pPr>
              <w:pStyle w:val="2"/>
              <w:wordWrap/>
              <w:rPr>
                <w:rFonts w:ascii="Times New Roman" w:hAnsi="Times New Roman" w:eastAsia="方正仿宋简体" w:cs="Times New Roman"/>
                <w:sz w:val="18"/>
                <w:szCs w:val="18"/>
                <w:lang w:bidi="ar"/>
              </w:rPr>
            </w:pPr>
          </w:p>
          <w:p>
            <w:pPr>
              <w:pStyle w:val="3"/>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pStyle w:val="2"/>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rPr>
            </w:pPr>
            <w:r>
              <w:rPr>
                <w:rFonts w:ascii="Times New Roman" w:hAnsi="Times New Roman" w:eastAsia="仿宋_GB2312" w:cs="Times New Roman"/>
                <w:sz w:val="20"/>
                <w:szCs w:val="20"/>
                <w:lang w:bidi="ar"/>
              </w:rPr>
              <w:t xml:space="preserve">          （盖章）                   </w:t>
            </w:r>
          </w:p>
          <w:p>
            <w:pPr>
              <w:snapToGrid w:val="0"/>
              <w:jc w:val="left"/>
              <w:rPr>
                <w:rFonts w:ascii="Times New Roman" w:hAnsi="Times New Roman" w:eastAsia="仿宋_GB2312" w:cs="Times New Roman"/>
                <w:sz w:val="20"/>
                <w:szCs w:val="20"/>
              </w:rPr>
            </w:pPr>
          </w:p>
          <w:p>
            <w:pPr>
              <w:wordWrap w:val="0"/>
              <w:snapToGrid w:val="0"/>
              <w:jc w:val="right"/>
              <w:rPr>
                <w:rFonts w:ascii="Times New Roman" w:hAnsi="Times New Roman" w:eastAsia="方正仿宋简体" w:cs="Times New Roman"/>
                <w:sz w:val="18"/>
                <w:szCs w:val="18"/>
                <w:lang w:bidi="ar"/>
              </w:rPr>
            </w:pPr>
            <w:r>
              <w:rPr>
                <w:rFonts w:ascii="Times New Roman" w:hAnsi="Times New Roman" w:eastAsia="仿宋_GB2312" w:cs="Times New Roman"/>
                <w:sz w:val="20"/>
                <w:szCs w:val="20"/>
                <w:lang w:bidi="ar"/>
              </w:rPr>
              <w:t xml:space="preserve"> 年    月    日      </w:t>
            </w:r>
            <w:r>
              <w:rPr>
                <w:rFonts w:ascii="Times New Roman" w:hAnsi="Times New Roman" w:eastAsia="方正仿宋简体" w:cs="Times New Roman"/>
                <w:sz w:val="18"/>
                <w:szCs w:val="18"/>
                <w:lang w:bidi="ar"/>
              </w:rPr>
              <w:t xml:space="preserve">         </w:t>
            </w:r>
          </w:p>
          <w:p>
            <w:pPr>
              <w:snapToGrid w:val="0"/>
              <w:jc w:val="right"/>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sdt>
      <w:sdtPr>
        <w:rPr>
          <w:sz w:val="28"/>
          <w:szCs w:val="28"/>
        </w:rPr>
        <w:id w:val="-176116451"/>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sdt>
      <w:sdtPr>
        <w:rPr>
          <w:sz w:val="28"/>
          <w:szCs w:val="28"/>
        </w:rPr>
        <w:id w:val="-176116451"/>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005B436E"/>
    <w:rsid w:val="012864A1"/>
    <w:rsid w:val="02261030"/>
    <w:rsid w:val="02B250DA"/>
    <w:rsid w:val="02CB619B"/>
    <w:rsid w:val="02FE21A7"/>
    <w:rsid w:val="03CD0470"/>
    <w:rsid w:val="04E86411"/>
    <w:rsid w:val="056D353A"/>
    <w:rsid w:val="06B70F10"/>
    <w:rsid w:val="08484032"/>
    <w:rsid w:val="08D26354"/>
    <w:rsid w:val="08E07D65"/>
    <w:rsid w:val="09754523"/>
    <w:rsid w:val="0A65393A"/>
    <w:rsid w:val="0B1E6D2B"/>
    <w:rsid w:val="0B347A47"/>
    <w:rsid w:val="0B67344D"/>
    <w:rsid w:val="0BCF2858"/>
    <w:rsid w:val="0C5C6BFB"/>
    <w:rsid w:val="0E95568B"/>
    <w:rsid w:val="0EC57F43"/>
    <w:rsid w:val="0FA612CA"/>
    <w:rsid w:val="0FF327CF"/>
    <w:rsid w:val="105A290D"/>
    <w:rsid w:val="117460B2"/>
    <w:rsid w:val="128351DA"/>
    <w:rsid w:val="128F06E8"/>
    <w:rsid w:val="128F2D41"/>
    <w:rsid w:val="12D70244"/>
    <w:rsid w:val="13807A34"/>
    <w:rsid w:val="14644EE8"/>
    <w:rsid w:val="14D37DBE"/>
    <w:rsid w:val="15390D45"/>
    <w:rsid w:val="17B905C5"/>
    <w:rsid w:val="18345CA0"/>
    <w:rsid w:val="194E0E8A"/>
    <w:rsid w:val="1A12568C"/>
    <w:rsid w:val="1AB03E34"/>
    <w:rsid w:val="1BCB46BE"/>
    <w:rsid w:val="1C250273"/>
    <w:rsid w:val="1CF87735"/>
    <w:rsid w:val="1D6131F2"/>
    <w:rsid w:val="1DBA2C3C"/>
    <w:rsid w:val="21555156"/>
    <w:rsid w:val="21B72020"/>
    <w:rsid w:val="22195EA1"/>
    <w:rsid w:val="224B25A2"/>
    <w:rsid w:val="23E048CF"/>
    <w:rsid w:val="2656316F"/>
    <w:rsid w:val="26A3130A"/>
    <w:rsid w:val="27C57396"/>
    <w:rsid w:val="27EC1CD2"/>
    <w:rsid w:val="29D07A70"/>
    <w:rsid w:val="29F9279F"/>
    <w:rsid w:val="2A474A94"/>
    <w:rsid w:val="2B3A38BB"/>
    <w:rsid w:val="2C2D0D77"/>
    <w:rsid w:val="2C362B93"/>
    <w:rsid w:val="2C4E7372"/>
    <w:rsid w:val="2E2C723F"/>
    <w:rsid w:val="2EC03368"/>
    <w:rsid w:val="30734518"/>
    <w:rsid w:val="31807FCD"/>
    <w:rsid w:val="34CA0BC8"/>
    <w:rsid w:val="35BD112B"/>
    <w:rsid w:val="36244EF5"/>
    <w:rsid w:val="36455341"/>
    <w:rsid w:val="36C55531"/>
    <w:rsid w:val="36EB4B1F"/>
    <w:rsid w:val="373E547F"/>
    <w:rsid w:val="37C76D0D"/>
    <w:rsid w:val="37CA045D"/>
    <w:rsid w:val="37DB4E60"/>
    <w:rsid w:val="3A8A0A09"/>
    <w:rsid w:val="3D040C85"/>
    <w:rsid w:val="3DA5223D"/>
    <w:rsid w:val="3DC813A5"/>
    <w:rsid w:val="3F5C40FE"/>
    <w:rsid w:val="40F608DB"/>
    <w:rsid w:val="43553711"/>
    <w:rsid w:val="44242E0C"/>
    <w:rsid w:val="44327542"/>
    <w:rsid w:val="448734FB"/>
    <w:rsid w:val="449854FD"/>
    <w:rsid w:val="44A973E3"/>
    <w:rsid w:val="46C95B1B"/>
    <w:rsid w:val="48811017"/>
    <w:rsid w:val="488C4D1B"/>
    <w:rsid w:val="4A8605B2"/>
    <w:rsid w:val="4A932F0A"/>
    <w:rsid w:val="4B4A7167"/>
    <w:rsid w:val="4BB14847"/>
    <w:rsid w:val="4C015BC0"/>
    <w:rsid w:val="4CDD3D21"/>
    <w:rsid w:val="4D4279A7"/>
    <w:rsid w:val="4DA9203C"/>
    <w:rsid w:val="4E0040AC"/>
    <w:rsid w:val="4E6656E1"/>
    <w:rsid w:val="4ED65D0D"/>
    <w:rsid w:val="4F6F0A9E"/>
    <w:rsid w:val="4FCD6243"/>
    <w:rsid w:val="506863A4"/>
    <w:rsid w:val="51DD05E5"/>
    <w:rsid w:val="53FE6ED7"/>
    <w:rsid w:val="5637484F"/>
    <w:rsid w:val="56A35666"/>
    <w:rsid w:val="56A678AF"/>
    <w:rsid w:val="57F74CC6"/>
    <w:rsid w:val="58127139"/>
    <w:rsid w:val="58F8674C"/>
    <w:rsid w:val="5A7352CD"/>
    <w:rsid w:val="5A76065D"/>
    <w:rsid w:val="5B0D3FC3"/>
    <w:rsid w:val="5CA504C3"/>
    <w:rsid w:val="5D0325B5"/>
    <w:rsid w:val="5F2176D5"/>
    <w:rsid w:val="5F546472"/>
    <w:rsid w:val="5F9A2F47"/>
    <w:rsid w:val="5FFFD04B"/>
    <w:rsid w:val="607B7A2E"/>
    <w:rsid w:val="60BB2AE2"/>
    <w:rsid w:val="62FA5F78"/>
    <w:rsid w:val="632E6FDA"/>
    <w:rsid w:val="63945D77"/>
    <w:rsid w:val="641C32D6"/>
    <w:rsid w:val="64CC58E0"/>
    <w:rsid w:val="64F344A0"/>
    <w:rsid w:val="68C11552"/>
    <w:rsid w:val="68D623B6"/>
    <w:rsid w:val="68E126B1"/>
    <w:rsid w:val="68E548B7"/>
    <w:rsid w:val="69032B47"/>
    <w:rsid w:val="69B27460"/>
    <w:rsid w:val="6B88156A"/>
    <w:rsid w:val="6BA605BA"/>
    <w:rsid w:val="6BB41665"/>
    <w:rsid w:val="6BFA6923"/>
    <w:rsid w:val="6C3FE98F"/>
    <w:rsid w:val="6C441742"/>
    <w:rsid w:val="6D193972"/>
    <w:rsid w:val="6FD92A60"/>
    <w:rsid w:val="705A5241"/>
    <w:rsid w:val="70AB52F9"/>
    <w:rsid w:val="70DD2B40"/>
    <w:rsid w:val="710620C6"/>
    <w:rsid w:val="718524A0"/>
    <w:rsid w:val="718A78AA"/>
    <w:rsid w:val="723E390E"/>
    <w:rsid w:val="73666F0F"/>
    <w:rsid w:val="743A3B0D"/>
    <w:rsid w:val="77E5275C"/>
    <w:rsid w:val="7B170503"/>
    <w:rsid w:val="7B52659D"/>
    <w:rsid w:val="7BF137F5"/>
    <w:rsid w:val="7BF47568"/>
    <w:rsid w:val="7C5E6C99"/>
    <w:rsid w:val="7C690C65"/>
    <w:rsid w:val="7C8E41ED"/>
    <w:rsid w:val="7C9E6B26"/>
    <w:rsid w:val="7D9C65E4"/>
    <w:rsid w:val="7DFF1E77"/>
    <w:rsid w:val="7E8837BF"/>
    <w:rsid w:val="7F0031B3"/>
    <w:rsid w:val="8FDF3656"/>
    <w:rsid w:val="C522EA2C"/>
    <w:rsid w:val="DA3DE433"/>
    <w:rsid w:val="E9BD9808"/>
    <w:rsid w:val="F3D551D4"/>
    <w:rsid w:val="F56ED0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adjustRightInd w:val="0"/>
      <w:snapToGrid w:val="0"/>
      <w:spacing w:beforeAutospacing="1" w:afterAutospacing="1"/>
      <w:ind w:firstLine="0" w:firstLineChars="0"/>
      <w:jc w:val="left"/>
      <w:outlineLvl w:val="0"/>
    </w:pPr>
    <w:rPr>
      <w:rFonts w:hint="eastAsia" w:ascii="宋体" w:hAnsi="宋体" w:eastAsia="黑体" w:cs="Times New Roman"/>
      <w:b/>
      <w:kern w:val="44"/>
      <w:sz w:val="30"/>
      <w:szCs w:val="48"/>
    </w:rPr>
  </w:style>
  <w:style w:type="paragraph" w:styleId="4">
    <w:name w:val="heading 3"/>
    <w:basedOn w:val="1"/>
    <w:next w:val="1"/>
    <w:unhideWhenUsed/>
    <w:qFormat/>
    <w:uiPriority w:val="0"/>
    <w:pPr>
      <w:keepNext/>
      <w:keepLines/>
      <w:outlineLvl w:val="2"/>
    </w:p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标题二2（楷体标题）"/>
    <w:basedOn w:val="1"/>
    <w:next w:val="3"/>
    <w:qFormat/>
    <w:uiPriority w:val="0"/>
    <w:pPr>
      <w:jc w:val="center"/>
    </w:pPr>
    <w:rPr>
      <w:rFonts w:ascii="宋体" w:hAnsi="宋体" w:cs="宋体"/>
      <w:szCs w:val="28"/>
    </w:rPr>
  </w:style>
  <w:style w:type="paragraph" w:styleId="5">
    <w:name w:val="annotation text"/>
    <w:basedOn w:val="1"/>
    <w:qFormat/>
    <w:uiPriority w:val="0"/>
    <w:pPr>
      <w:jc w:val="left"/>
    </w:pPr>
  </w:style>
  <w:style w:type="paragraph" w:styleId="6">
    <w:name w:val="Body Text"/>
    <w:basedOn w:val="1"/>
    <w:qFormat/>
    <w:uiPriority w:val="0"/>
    <w:pPr>
      <w:spacing w:line="440" w:lineRule="exact"/>
    </w:pPr>
    <w:rPr>
      <w:rFonts w:ascii="Calibri" w:hAnsi="Calibri" w:eastAsia="宋体" w:cs="Times New Roman"/>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next w:val="6"/>
    <w:qFormat/>
    <w:uiPriority w:val="0"/>
    <w:pPr>
      <w:spacing w:after="120" w:line="480" w:lineRule="auto"/>
    </w:pPr>
    <w:rPr>
      <w:rFonts w:ascii="Calibri" w:hAnsi="Calibri" w:eastAsia="宋体" w:cs="Times New Roman"/>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首行缩进"/>
    <w:basedOn w:val="1"/>
    <w:qFormat/>
    <w:uiPriority w:val="0"/>
  </w:style>
  <w:style w:type="table" w:customStyle="1" w:styleId="14">
    <w:name w:val="网格型1"/>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5615</Words>
  <Characters>5750</Characters>
  <Lines>0</Lines>
  <Paragraphs>0</Paragraphs>
  <TotalTime>10</TotalTime>
  <ScaleCrop>false</ScaleCrop>
  <LinksUpToDate>false</LinksUpToDate>
  <CharactersWithSpaces>5864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2022-11-24T18:44:00Z</dcterms:created>
  <dc:creator>DELL</dc:creator>
  <cp:lastModifiedBy>赵大胃儿</cp:lastModifiedBy>
  <dcterms:modified xsi:type="dcterms:W3CDTF">2023-12-02T06:04:23Z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7FBE364F598D4A5097F04133832CF4BE_13</vt:lpwstr>
  </property>
</Properties>
</file>