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snapToGrid w:val="0"/>
        <w:outlineLvl w:val="0"/>
        <w:rPr>
          <w:rFonts w:ascii="Times New Roman" w:hAnsi="Times New Roman" w:eastAsia="黑体" w:cs="Times New Roman"/>
          <w:sz w:val="28"/>
          <w:szCs w:val="28"/>
        </w:rPr>
      </w:pPr>
      <w:r>
        <w:rPr>
          <w:rFonts w:ascii="Times New Roman" w:hAnsi="Times New Roman" w:eastAsia="黑体" w:cs="Times New Roman"/>
          <w:sz w:val="28"/>
          <w:szCs w:val="28"/>
        </w:rPr>
        <w:t>附件5</w:t>
      </w:r>
    </w:p>
    <w:p>
      <w:pPr>
        <w:jc w:val="center"/>
        <w:rPr>
          <w:rFonts w:ascii="Times New Roman" w:hAnsi="Times New Roman" w:eastAsia="方正小标宋简体" w:cs="Times New Roman"/>
          <w:snapToGrid w:val="0"/>
          <w:spacing w:val="-10"/>
          <w:sz w:val="44"/>
          <w:szCs w:val="44"/>
        </w:rPr>
      </w:pPr>
    </w:p>
    <w:p>
      <w:pPr>
        <w:jc w:val="center"/>
        <w:rPr>
          <w:rFonts w:ascii="Times New Roman" w:hAnsi="Times New Roman" w:eastAsia="方正小标宋简体" w:cs="Times New Roman"/>
          <w:snapToGrid w:val="0"/>
          <w:spacing w:val="-10"/>
          <w:sz w:val="44"/>
          <w:szCs w:val="44"/>
        </w:rPr>
      </w:pPr>
    </w:p>
    <w:p>
      <w:pPr>
        <w:snapToGrid w:val="0"/>
        <w:jc w:val="center"/>
        <w:textAlignment w:val="baseline"/>
        <w:rPr>
          <w:rFonts w:ascii="Times New Roman" w:hAnsi="Times New Roman" w:eastAsia="方正小标宋简体" w:cs="Times New Roman"/>
          <w:bCs/>
          <w:sz w:val="44"/>
          <w:szCs w:val="44"/>
        </w:rPr>
      </w:pPr>
      <w:r>
        <w:rPr>
          <w:rFonts w:ascii="Times New Roman" w:hAnsi="Times New Roman" w:eastAsia="方正小标宋简体" w:cs="Times New Roman"/>
          <w:bCs/>
          <w:sz w:val="44"/>
          <w:szCs w:val="44"/>
        </w:rPr>
        <w:t>高职本科拟招生专业信息表</w:t>
      </w:r>
    </w:p>
    <w:p>
      <w:pPr>
        <w:jc w:val="center"/>
        <w:outlineLvl w:val="0"/>
        <w:rPr>
          <w:rFonts w:ascii="Times New Roman" w:hAnsi="Times New Roman" w:eastAsia="楷体_GB2312" w:cs="Times New Roman"/>
          <w:b/>
          <w:bCs/>
          <w:snapToGrid w:val="0"/>
          <w:spacing w:val="-10"/>
          <w:sz w:val="44"/>
          <w:szCs w:val="44"/>
        </w:rPr>
      </w:pPr>
      <w:r>
        <w:rPr>
          <w:rFonts w:ascii="Times New Roman" w:hAnsi="Times New Roman" w:eastAsia="方正小标宋简体" w:cs="Times New Roman"/>
          <w:bCs/>
          <w:sz w:val="36"/>
          <w:szCs w:val="36"/>
        </w:rPr>
        <w:t>（新增设）</w:t>
      </w:r>
    </w:p>
    <w:p>
      <w:pPr>
        <w:ind w:left="930" w:leftChars="443"/>
        <w:rPr>
          <w:rFonts w:ascii="Times New Roman" w:hAnsi="Times New Roman" w:eastAsia="楷体_GB2312" w:cs="Times New Roman"/>
          <w:sz w:val="32"/>
          <w:szCs w:val="32"/>
          <w:lang w:bidi="ar"/>
        </w:rPr>
      </w:pPr>
    </w:p>
    <w:tbl>
      <w:tblPr>
        <w:tblStyle w:val="18"/>
        <w:tblW w:w="8011"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120"/>
        <w:gridCol w:w="38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学校名称(盖章)：</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广西城市职业大学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77" w:hRule="atLeast"/>
        </w:trPr>
        <w:tc>
          <w:tcPr>
            <w:tcW w:w="4120" w:type="dxa"/>
          </w:tcPr>
          <w:p>
            <w:pPr>
              <w:ind w:left="563" w:leftChars="268"/>
              <w:jc w:val="distribute"/>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学校主管部门：</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广西壮族自治区教育厅</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专业名称：</w:t>
            </w:r>
          </w:p>
        </w:tc>
        <w:tc>
          <w:tcPr>
            <w:tcW w:w="3891" w:type="dxa"/>
          </w:tcPr>
          <w:p>
            <w:pPr>
              <w:widowControl/>
              <w:overflowPunct w:val="0"/>
              <w:adjustRightInd w:val="0"/>
              <w:spacing w:line="520" w:lineRule="exact"/>
              <w:jc w:val="center"/>
              <w:rPr>
                <w:rFonts w:hint="eastAsia" w:ascii="Times New Roman" w:hAnsi="Times New Roman" w:eastAsia="仿宋_GB2312" w:cs="Times New Roman"/>
                <w:sz w:val="32"/>
                <w:szCs w:val="32"/>
                <w:lang w:val="en-US" w:eastAsia="zh-CN"/>
              </w:rPr>
            </w:pPr>
            <w:r>
              <w:rPr>
                <w:rFonts w:hint="eastAsia" w:ascii="Times New Roman" w:hAnsi="Times New Roman" w:eastAsia="仿宋_GB2312" w:cs="Times New Roman"/>
                <w:sz w:val="32"/>
                <w:szCs w:val="32"/>
              </w:rPr>
              <w:t>医养照护与管理</w:t>
            </w:r>
            <w:r>
              <w:rPr>
                <w:rFonts w:hint="eastAsia" w:ascii="Times New Roman" w:hAnsi="Times New Roman" w:eastAsia="仿宋_GB2312" w:cs="Times New Roman"/>
                <w:sz w:val="32"/>
                <w:szCs w:val="32"/>
                <w:lang w:val="en-US" w:eastAsia="zh-CN"/>
              </w:rPr>
              <w:t>专业</w:t>
            </w:r>
          </w:p>
          <w:p>
            <w:pPr>
              <w:pStyle w:val="17"/>
              <w:spacing w:line="520" w:lineRule="exact"/>
              <w:jc w:val="center"/>
              <w:rPr>
                <w:rFonts w:eastAsia="仿宋_GB2312"/>
              </w:rPr>
            </w:pPr>
            <w:r>
              <w:rPr>
                <w:rFonts w:hint="eastAsia" w:ascii="Times New Roman" w:hAnsi="Times New Roman" w:eastAsia="仿宋_GB2312" w:cs="Times New Roman"/>
                <w:sz w:val="32"/>
                <w:szCs w:val="32"/>
              </w:rPr>
              <w:t>（专升本）</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6"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专业代码：</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320803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4120" w:type="dxa"/>
          </w:tcPr>
          <w:p>
            <w:pPr>
              <w:ind w:left="563" w:leftChars="268"/>
              <w:jc w:val="distribute"/>
              <w:rPr>
                <w:rFonts w:ascii="Times New Roman" w:hAnsi="Times New Roman" w:eastAsia="仿宋_GB2312" w:cs="Times New Roman"/>
                <w:sz w:val="32"/>
                <w:szCs w:val="32"/>
                <w:lang w:bidi="ar"/>
              </w:rPr>
            </w:pPr>
            <w:r>
              <w:rPr>
                <w:rFonts w:hint="eastAsia" w:ascii="Times New Roman" w:hAnsi="Times New Roman" w:eastAsia="仿宋_GB2312" w:cs="Times New Roman"/>
                <w:sz w:val="32"/>
                <w:szCs w:val="32"/>
                <w:lang w:bidi="ar"/>
              </w:rPr>
              <w:t>修业年限：</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0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拟招生数：</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highlight w:val="none"/>
                <w:lang w:val="en-US" w:eastAsia="zh-CN"/>
              </w:rPr>
              <w:t>70</w:t>
            </w:r>
            <w:r>
              <w:rPr>
                <w:rFonts w:hint="eastAsia" w:ascii="Times New Roman" w:hAnsi="Times New Roman" w:eastAsia="仿宋_GB2312" w:cs="Times New Roman"/>
                <w:sz w:val="32"/>
                <w:szCs w:val="32"/>
                <w:highlight w:val="none"/>
              </w:rPr>
              <w:t>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20"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专业负责人：</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廖海涛</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联系电话：</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13978897810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申请时间：</w:t>
            </w:r>
          </w:p>
        </w:tc>
        <w:tc>
          <w:tcPr>
            <w:tcW w:w="3891" w:type="dxa"/>
          </w:tcPr>
          <w:p>
            <w:pPr>
              <w:widowControl/>
              <w:overflowPunct w:val="0"/>
              <w:adjustRightInd w:val="0"/>
              <w:jc w:val="center"/>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2023年</w:t>
            </w:r>
            <w:r>
              <w:rPr>
                <w:rFonts w:hint="eastAsia" w:ascii="Times New Roman" w:hAnsi="Times New Roman" w:eastAsia="仿宋_GB2312" w:cs="Times New Roman"/>
                <w:sz w:val="32"/>
                <w:szCs w:val="32"/>
                <w:lang w:val="en-US" w:eastAsia="zh-CN"/>
              </w:rPr>
              <w:t>11</w:t>
            </w:r>
            <w:r>
              <w:rPr>
                <w:rFonts w:hint="eastAsia" w:ascii="Times New Roman" w:hAnsi="Times New Roman" w:eastAsia="仿宋_GB2312" w:cs="Times New Roman"/>
                <w:sz w:val="32"/>
                <w:szCs w:val="32"/>
              </w:rPr>
              <w:t>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13" w:hRule="atLeast"/>
        </w:trPr>
        <w:tc>
          <w:tcPr>
            <w:tcW w:w="4120" w:type="dxa"/>
          </w:tcPr>
          <w:p>
            <w:pPr>
              <w:ind w:left="563" w:leftChars="268"/>
              <w:jc w:val="distribute"/>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法定代表人签字：</w:t>
            </w:r>
          </w:p>
        </w:tc>
        <w:tc>
          <w:tcPr>
            <w:tcW w:w="3891" w:type="dxa"/>
          </w:tcPr>
          <w:p>
            <w:pPr>
              <w:widowControl/>
              <w:overflowPunct w:val="0"/>
              <w:adjustRightInd w:val="0"/>
              <w:jc w:val="right"/>
              <w:rPr>
                <w:rFonts w:ascii="Times New Roman" w:hAnsi="Times New Roman" w:eastAsia="仿宋_GB2312" w:cs="Times New Roman"/>
                <w:sz w:val="32"/>
                <w:szCs w:val="32"/>
              </w:rPr>
            </w:pPr>
          </w:p>
        </w:tc>
      </w:tr>
    </w:tbl>
    <w:p>
      <w:pPr>
        <w:ind w:left="930" w:leftChars="443"/>
        <w:rPr>
          <w:rFonts w:ascii="Times New Roman" w:hAnsi="Times New Roman" w:eastAsia="楷体_GB2312" w:cs="Times New Roman"/>
          <w:sz w:val="32"/>
          <w:szCs w:val="32"/>
          <w:lang w:bidi="ar"/>
        </w:rPr>
      </w:pPr>
    </w:p>
    <w:p>
      <w:pPr>
        <w:ind w:left="930" w:leftChars="443"/>
        <w:rPr>
          <w:rFonts w:ascii="Times New Roman" w:hAnsi="Times New Roman" w:eastAsia="楷体_GB2312" w:cs="Times New Roman"/>
          <w:sz w:val="32"/>
          <w:szCs w:val="32"/>
          <w:lang w:bidi="ar"/>
        </w:rPr>
      </w:pPr>
    </w:p>
    <w:p>
      <w:pPr>
        <w:pStyle w:val="17"/>
        <w:rPr>
          <w:rFonts w:ascii="Times New Roman" w:hAnsi="Times New Roman" w:eastAsia="楷体_GB2312" w:cs="Times New Roman"/>
          <w:sz w:val="32"/>
          <w:szCs w:val="32"/>
          <w:lang w:bidi="ar"/>
        </w:rPr>
      </w:pPr>
    </w:p>
    <w:p>
      <w:pPr>
        <w:pStyle w:val="17"/>
        <w:rPr>
          <w:rFonts w:ascii="Times New Roman" w:hAnsi="Times New Roman" w:eastAsia="楷体_GB2312" w:cs="Times New Roman"/>
          <w:sz w:val="32"/>
          <w:szCs w:val="32"/>
          <w:lang w:bidi="ar"/>
        </w:rPr>
      </w:pPr>
    </w:p>
    <w:p>
      <w:pPr>
        <w:ind w:left="930" w:leftChars="443"/>
        <w:rPr>
          <w:rFonts w:ascii="Times New Roman" w:hAnsi="Times New Roman" w:eastAsia="楷体_GB2312" w:cs="Times New Roman"/>
          <w:sz w:val="32"/>
          <w:szCs w:val="32"/>
          <w:lang w:bidi="ar"/>
        </w:rPr>
      </w:pPr>
    </w:p>
    <w:p>
      <w:pPr>
        <w:jc w:val="center"/>
        <w:rPr>
          <w:rFonts w:ascii="Times New Roman" w:hAnsi="Times New Roman" w:eastAsia="楷体_GB2312" w:cs="Times New Roman"/>
          <w:sz w:val="36"/>
          <w:szCs w:val="24"/>
        </w:rPr>
      </w:pPr>
      <w:r>
        <w:rPr>
          <w:rFonts w:ascii="Times New Roman" w:hAnsi="Times New Roman" w:eastAsia="仿宋_GB2312" w:cs="Times New Roman"/>
          <w:sz w:val="36"/>
        </w:rPr>
        <w:t>中华人民共和国教育部制</w:t>
      </w:r>
    </w:p>
    <w:p>
      <w:pPr>
        <w:jc w:val="center"/>
        <w:rPr>
          <w:rFonts w:ascii="Times New Roman" w:hAnsi="Times New Roman" w:eastAsia="楷体_GB2312" w:cs="Times New Roman"/>
          <w:sz w:val="32"/>
          <w:szCs w:val="32"/>
          <w:lang w:bidi="ar"/>
        </w:rPr>
        <w:sectPr>
          <w:footerReference r:id="rId4" w:type="first"/>
          <w:footerReference r:id="rId3" w:type="default"/>
          <w:pgSz w:w="11906" w:h="16838"/>
          <w:pgMar w:top="1440" w:right="1803" w:bottom="1440" w:left="1803" w:header="851" w:footer="850" w:gutter="0"/>
          <w:cols w:space="720" w:num="1"/>
          <w:titlePg/>
          <w:docGrid w:type="lines" w:linePitch="579" w:charSpace="21679"/>
        </w:sectPr>
      </w:pPr>
    </w:p>
    <w:p>
      <w:pPr>
        <w:jc w:val="center"/>
        <w:rPr>
          <w:rFonts w:ascii="Times New Roman" w:hAnsi="Times New Roman" w:eastAsia="楷体_GB2312" w:cs="Times New Roman"/>
          <w:sz w:val="32"/>
          <w:szCs w:val="32"/>
          <w:lang w:bidi="ar"/>
        </w:rPr>
      </w:pPr>
    </w:p>
    <w:p>
      <w:pPr>
        <w:jc w:val="center"/>
        <w:rPr>
          <w:rFonts w:ascii="Times New Roman" w:hAnsi="Times New Roman" w:eastAsia="楷体_GB2312" w:cs="Times New Roman"/>
          <w:sz w:val="32"/>
          <w:szCs w:val="32"/>
          <w:lang w:bidi="ar"/>
        </w:rPr>
      </w:pPr>
    </w:p>
    <w:p>
      <w:pPr>
        <w:jc w:val="center"/>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填表说明</w:t>
      </w:r>
    </w:p>
    <w:p>
      <w:pPr>
        <w:jc w:val="center"/>
        <w:rPr>
          <w:rFonts w:ascii="Times New Roman" w:hAnsi="Times New Roman" w:eastAsia="仿宋_GB2312" w:cs="Times New Roman"/>
          <w:sz w:val="32"/>
          <w:szCs w:val="32"/>
          <w:lang w:bidi="ar"/>
        </w:rPr>
      </w:pP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1.本表用于各学校填报新增拟招生的高职本科教育专业信息。</w:t>
      </w: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2.根据《本科层次职业教育专业设置管理办法（试行）》（以下简称《办法》）的要求如实填报。</w:t>
      </w: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3.表中所填内容要言简意赅，如有需要可另附报告，一个专业对应的报告单独一册，双面打印，单独装订。</w:t>
      </w:r>
    </w:p>
    <w:p>
      <w:pPr>
        <w:ind w:firstLine="640" w:firstLineChars="200"/>
        <w:jc w:val="left"/>
        <w:rPr>
          <w:rFonts w:ascii="Times New Roman" w:hAnsi="Times New Roman" w:eastAsia="仿宋_GB2312" w:cs="Times New Roman"/>
          <w:sz w:val="32"/>
          <w:szCs w:val="32"/>
          <w:lang w:bidi="ar"/>
        </w:rPr>
      </w:pPr>
      <w:r>
        <w:rPr>
          <w:rFonts w:ascii="Times New Roman" w:hAnsi="Times New Roman" w:eastAsia="仿宋_GB2312" w:cs="Times New Roman"/>
          <w:sz w:val="32"/>
          <w:szCs w:val="32"/>
          <w:lang w:bidi="ar"/>
        </w:rPr>
        <w:t>4.学校承诺本表所填师资、办学条件等基本情况真实、准确，如有虚假，一经发现，严肃处理。</w:t>
      </w:r>
    </w:p>
    <w:p>
      <w:pPr>
        <w:widowControl/>
        <w:overflowPunct w:val="0"/>
        <w:adjustRightInd w:val="0"/>
        <w:ind w:firstLine="640" w:firstLineChars="200"/>
        <w:rPr>
          <w:rFonts w:ascii="Times New Roman" w:hAnsi="Times New Roman" w:eastAsia="仿宋_GB2312" w:cs="Times New Roman"/>
          <w:sz w:val="32"/>
          <w:szCs w:val="32"/>
        </w:rPr>
      </w:pPr>
    </w:p>
    <w:p>
      <w:pPr>
        <w:widowControl/>
        <w:overflowPunct w:val="0"/>
        <w:adjustRightInd w:val="0"/>
        <w:ind w:firstLine="640" w:firstLineChars="200"/>
        <w:rPr>
          <w:rFonts w:ascii="Times New Roman" w:hAnsi="Times New Roman" w:eastAsia="仿宋_GB2312" w:cs="Times New Roman"/>
          <w:sz w:val="32"/>
          <w:szCs w:val="32"/>
        </w:rPr>
      </w:pPr>
    </w:p>
    <w:p>
      <w:pPr>
        <w:widowControl/>
        <w:overflowPunct w:val="0"/>
        <w:adjustRightInd w:val="0"/>
        <w:ind w:firstLine="640" w:firstLineChars="200"/>
        <w:rPr>
          <w:rFonts w:ascii="Times New Roman" w:hAnsi="Times New Roman" w:eastAsia="仿宋_GB2312" w:cs="Times New Roman"/>
          <w:sz w:val="32"/>
          <w:szCs w:val="32"/>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jc w:val="center"/>
        <w:rPr>
          <w:rFonts w:ascii="Times New Roman" w:hAnsi="Times New Roman" w:eastAsia="楷体_GB2312" w:cs="Times New Roman"/>
          <w:sz w:val="36"/>
          <w:szCs w:val="24"/>
        </w:rPr>
      </w:pPr>
    </w:p>
    <w:p>
      <w:pPr>
        <w:snapToGrid w:val="0"/>
        <w:jc w:val="center"/>
        <w:rPr>
          <w:rFonts w:ascii="Times New Roman" w:hAnsi="Times New Roman" w:eastAsia="方正仿宋简体" w:cs="Times New Roman"/>
          <w:sz w:val="24"/>
          <w:szCs w:val="24"/>
        </w:rPr>
        <w:sectPr>
          <w:footerReference r:id="rId6" w:type="first"/>
          <w:footerReference r:id="rId5" w:type="default"/>
          <w:pgSz w:w="11906" w:h="16838"/>
          <w:pgMar w:top="1440" w:right="1803" w:bottom="1440" w:left="1803" w:header="851" w:footer="850" w:gutter="0"/>
          <w:pgNumType w:start="1"/>
          <w:cols w:space="720" w:num="1"/>
          <w:titlePg/>
          <w:docGrid w:type="lines" w:linePitch="579" w:charSpace="21679"/>
        </w:sectPr>
      </w:pPr>
    </w:p>
    <w:tbl>
      <w:tblPr>
        <w:tblStyle w:val="13"/>
        <w:tblW w:w="873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1801"/>
        <w:gridCol w:w="1683"/>
        <w:gridCol w:w="2569"/>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92" w:hRule="atLeast"/>
          <w:jc w:val="center"/>
        </w:trPr>
        <w:tc>
          <w:tcPr>
            <w:tcW w:w="8732" w:type="dxa"/>
            <w:gridSpan w:val="5"/>
            <w:vAlign w:val="center"/>
          </w:tcPr>
          <w:p>
            <w:pPr>
              <w:snapToGrid w:val="0"/>
              <w:jc w:val="left"/>
              <w:rPr>
                <w:rFonts w:ascii="Times New Roman" w:hAnsi="Times New Roman" w:eastAsia="仿宋_GB2312" w:cs="Times New Roman"/>
                <w:sz w:val="24"/>
                <w:szCs w:val="24"/>
              </w:rPr>
            </w:pPr>
            <w:r>
              <w:rPr>
                <w:rFonts w:hint="eastAsia" w:ascii="仿宋" w:hAnsi="仿宋" w:eastAsia="仿宋" w:cs="仿宋"/>
                <w:b/>
                <w:bCs/>
                <w:color w:val="000000" w:themeColor="text1"/>
                <w:sz w:val="24"/>
                <w:szCs w:val="24"/>
                <w14:textFill>
                  <w14:solidFill>
                    <w14:schemeClr w14:val="tx1"/>
                  </w14:solidFill>
                </w14:textFill>
              </w:rPr>
              <w:t>拟招生专业基本情况：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8" w:hRule="atLeast"/>
          <w:jc w:val="center"/>
        </w:trPr>
        <w:tc>
          <w:tcPr>
            <w:tcW w:w="2689" w:type="dxa"/>
            <w:gridSpan w:val="2"/>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拟招生专业名称</w:t>
            </w:r>
          </w:p>
        </w:tc>
        <w:tc>
          <w:tcPr>
            <w:tcW w:w="1683"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医养照护与管理（专升本）</w:t>
            </w:r>
          </w:p>
        </w:tc>
        <w:tc>
          <w:tcPr>
            <w:tcW w:w="2569"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791"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320803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2689" w:type="dxa"/>
            <w:gridSpan w:val="2"/>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办学性质</w:t>
            </w:r>
          </w:p>
        </w:tc>
        <w:tc>
          <w:tcPr>
            <w:tcW w:w="1683"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民办</w:t>
            </w:r>
          </w:p>
        </w:tc>
        <w:tc>
          <w:tcPr>
            <w:tcW w:w="2569"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学位授予学科门类</w:t>
            </w:r>
          </w:p>
        </w:tc>
        <w:tc>
          <w:tcPr>
            <w:tcW w:w="1791"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管理学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1" w:hRule="atLeast"/>
          <w:jc w:val="center"/>
        </w:trPr>
        <w:tc>
          <w:tcPr>
            <w:tcW w:w="2689" w:type="dxa"/>
            <w:gridSpan w:val="2"/>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lang w:val="en-US" w:eastAsia="zh-CN"/>
              </w:rPr>
              <w:t>2024</w:t>
            </w:r>
            <w:r>
              <w:rPr>
                <w:rFonts w:hint="eastAsia" w:ascii="Times New Roman" w:hAnsi="Times New Roman" w:eastAsia="仿宋_GB2312" w:cs="Times New Roman"/>
                <w:sz w:val="24"/>
                <w:szCs w:val="24"/>
              </w:rPr>
              <w:t>年拟招生数（人）</w:t>
            </w:r>
          </w:p>
        </w:tc>
        <w:tc>
          <w:tcPr>
            <w:tcW w:w="1683" w:type="dxa"/>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70</w:t>
            </w:r>
          </w:p>
        </w:tc>
        <w:tc>
          <w:tcPr>
            <w:tcW w:w="2569"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学制</w:t>
            </w:r>
          </w:p>
        </w:tc>
        <w:tc>
          <w:tcPr>
            <w:tcW w:w="1791"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二年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8" w:hRule="atLeast"/>
          <w:jc w:val="center"/>
        </w:trPr>
        <w:tc>
          <w:tcPr>
            <w:tcW w:w="2689" w:type="dxa"/>
            <w:gridSpan w:val="2"/>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总学时</w:t>
            </w:r>
          </w:p>
        </w:tc>
        <w:tc>
          <w:tcPr>
            <w:tcW w:w="1683"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1472</w:t>
            </w:r>
          </w:p>
        </w:tc>
        <w:tc>
          <w:tcPr>
            <w:tcW w:w="2569"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实践教学学时</w:t>
            </w:r>
          </w:p>
        </w:tc>
        <w:tc>
          <w:tcPr>
            <w:tcW w:w="1791"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880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2689" w:type="dxa"/>
            <w:gridSpan w:val="2"/>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实践教学学时占总学时的比例</w:t>
            </w:r>
          </w:p>
        </w:tc>
        <w:tc>
          <w:tcPr>
            <w:tcW w:w="1683"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59.78%</w:t>
            </w:r>
          </w:p>
        </w:tc>
        <w:tc>
          <w:tcPr>
            <w:tcW w:w="2569"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实验实训项目（任务）能够开出率（%）</w:t>
            </w:r>
          </w:p>
        </w:tc>
        <w:tc>
          <w:tcPr>
            <w:tcW w:w="1791"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88" w:hRule="atLeast"/>
          <w:jc w:val="center"/>
        </w:trPr>
        <w:tc>
          <w:tcPr>
            <w:tcW w:w="2689" w:type="dxa"/>
            <w:gridSpan w:val="2"/>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“双师型”教师</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占比（%）</w:t>
            </w:r>
          </w:p>
        </w:tc>
        <w:tc>
          <w:tcPr>
            <w:tcW w:w="1683"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50.00</w:t>
            </w:r>
          </w:p>
        </w:tc>
        <w:tc>
          <w:tcPr>
            <w:tcW w:w="2569"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兼职教师数（人）</w:t>
            </w:r>
          </w:p>
        </w:tc>
        <w:tc>
          <w:tcPr>
            <w:tcW w:w="1791" w:type="dxa"/>
            <w:vAlign w:val="center"/>
          </w:tcPr>
          <w:p>
            <w:pPr>
              <w:snapToGrid w:val="0"/>
              <w:jc w:val="center"/>
              <w:rPr>
                <w:rFonts w:hint="eastAsia" w:ascii="Times New Roman" w:hAnsi="Times New Roman" w:eastAsia="仿宋_GB2312" w:cs="Times New Roman"/>
                <w:sz w:val="24"/>
                <w:szCs w:val="24"/>
                <w:lang w:eastAsia="zh-CN"/>
              </w:rPr>
            </w:pPr>
            <w:r>
              <w:rPr>
                <w:rFonts w:hint="eastAsia" w:ascii="Times New Roman" w:hAnsi="Times New Roman" w:eastAsia="仿宋_GB2312" w:cs="Times New Roman"/>
                <w:sz w:val="24"/>
                <w:szCs w:val="24"/>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2689" w:type="dxa"/>
            <w:gridSpan w:val="2"/>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兼职教师计划承担的专业课授课学时占专业课总学时比例（%）</w:t>
            </w:r>
          </w:p>
        </w:tc>
        <w:tc>
          <w:tcPr>
            <w:tcW w:w="1683"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29.63</w:t>
            </w:r>
          </w:p>
        </w:tc>
        <w:tc>
          <w:tcPr>
            <w:tcW w:w="2569"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是否有省级及以上教育行政部门等认定的高水平教师教学（科研）创新团队</w:t>
            </w:r>
          </w:p>
        </w:tc>
        <w:tc>
          <w:tcPr>
            <w:tcW w:w="1791"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7" w:hRule="atLeast"/>
          <w:jc w:val="center"/>
        </w:trPr>
        <w:tc>
          <w:tcPr>
            <w:tcW w:w="2689" w:type="dxa"/>
            <w:gridSpan w:val="2"/>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省级及以上教学名师数量（人）</w:t>
            </w:r>
          </w:p>
        </w:tc>
        <w:tc>
          <w:tcPr>
            <w:tcW w:w="1683"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0</w:t>
            </w:r>
          </w:p>
        </w:tc>
        <w:tc>
          <w:tcPr>
            <w:tcW w:w="2569"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省级及以上教学领域有关奖励数量（项）</w:t>
            </w:r>
          </w:p>
        </w:tc>
        <w:tc>
          <w:tcPr>
            <w:tcW w:w="1791"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2689" w:type="dxa"/>
            <w:gridSpan w:val="2"/>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生均教学科研仪器设备值（万元）</w:t>
            </w:r>
          </w:p>
        </w:tc>
        <w:tc>
          <w:tcPr>
            <w:tcW w:w="1683"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1.66</w:t>
            </w:r>
          </w:p>
        </w:tc>
        <w:tc>
          <w:tcPr>
            <w:tcW w:w="2569"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是否有省级及以上技术研发推广平台</w:t>
            </w:r>
          </w:p>
        </w:tc>
        <w:tc>
          <w:tcPr>
            <w:tcW w:w="1791" w:type="dxa"/>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8732" w:type="dxa"/>
            <w:gridSpan w:val="5"/>
            <w:tcBorders>
              <w:bottom w:val="single" w:color="000000" w:sz="4" w:space="0"/>
            </w:tcBorders>
            <w:vAlign w:val="center"/>
          </w:tcPr>
          <w:p>
            <w:pPr>
              <w:snapToGrid w:val="0"/>
              <w:jc w:val="left"/>
              <w:rPr>
                <w:rFonts w:ascii="Times New Roman" w:hAnsi="Times New Roman" w:eastAsia="仿宋_GB2312" w:cs="Times New Roman"/>
                <w:sz w:val="24"/>
                <w:szCs w:val="24"/>
              </w:rPr>
            </w:pPr>
            <w:r>
              <w:rPr>
                <w:rFonts w:hint="eastAsia" w:ascii="仿宋" w:hAnsi="仿宋" w:eastAsia="仿宋" w:cs="仿宋"/>
                <w:b/>
                <w:bCs/>
                <w:color w:val="000000" w:themeColor="text1"/>
                <w:sz w:val="24"/>
                <w:szCs w:val="24"/>
                <w14:textFill>
                  <w14:solidFill>
                    <w14:schemeClr w14:val="tx1"/>
                  </w14:solidFill>
                </w14:textFill>
              </w:rPr>
              <w:t>所依托主要专业基本情况</w:t>
            </w:r>
            <w:r>
              <w:rPr>
                <w:rFonts w:hint="eastAsia" w:ascii="仿宋" w:hAnsi="仿宋" w:eastAsia="仿宋" w:cs="仿宋"/>
                <w:b/>
                <w:bCs/>
                <w:color w:val="000000" w:themeColor="text1"/>
                <w:sz w:val="24"/>
                <w:szCs w:val="24"/>
                <w:lang w:val="en-US" w:eastAsia="zh-CN"/>
                <w14:textFill>
                  <w14:solidFill>
                    <w14:schemeClr w14:val="tx1"/>
                  </w14:solidFill>
                </w14:textFill>
              </w:rPr>
              <w:t>1</w:t>
            </w:r>
            <w:r>
              <w:rPr>
                <w:rFonts w:hint="eastAsia" w:ascii="仿宋" w:hAnsi="仿宋" w:eastAsia="仿宋" w:cs="仿宋"/>
                <w:b/>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0"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68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医养照护与管理</w:t>
            </w:r>
          </w:p>
        </w:tc>
        <w:tc>
          <w:tcPr>
            <w:tcW w:w="25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320803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0"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专业开设时间</w:t>
            </w:r>
          </w:p>
        </w:tc>
        <w:tc>
          <w:tcPr>
            <w:tcW w:w="168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2022</w:t>
            </w:r>
          </w:p>
        </w:tc>
        <w:tc>
          <w:tcPr>
            <w:tcW w:w="25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是否为省级以上</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重点（特色）专业</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4"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本专业全日制</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在校生数（人）</w:t>
            </w:r>
          </w:p>
        </w:tc>
        <w:tc>
          <w:tcPr>
            <w:tcW w:w="168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54</w:t>
            </w:r>
          </w:p>
        </w:tc>
        <w:tc>
          <w:tcPr>
            <w:tcW w:w="25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本专业专任教师</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数（人）</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7"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专任教师与全日制</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在校生人数之比</w:t>
            </w:r>
          </w:p>
        </w:tc>
        <w:tc>
          <w:tcPr>
            <w:tcW w:w="168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1:6</w:t>
            </w:r>
          </w:p>
        </w:tc>
        <w:tc>
          <w:tcPr>
            <w:tcW w:w="25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高级职称专任教师</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比例（%）</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62.5</w:t>
            </w:r>
            <w:r>
              <w:rPr>
                <w:rFonts w:hint="eastAsia" w:ascii="Times New Roman" w:hAnsi="Times New Roman" w:eastAsia="仿宋_GB2312" w:cs="Times New Roman"/>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2"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具有研究生学位</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专任教师比例（%）</w:t>
            </w:r>
          </w:p>
        </w:tc>
        <w:tc>
          <w:tcPr>
            <w:tcW w:w="168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50</w:t>
            </w:r>
            <w:r>
              <w:rPr>
                <w:rFonts w:hint="eastAsia" w:ascii="Times New Roman" w:hAnsi="Times New Roman" w:eastAsia="仿宋_GB2312" w:cs="Times New Roman"/>
                <w:sz w:val="24"/>
                <w:szCs w:val="24"/>
                <w:lang w:val="en-US" w:eastAsia="zh-CN"/>
              </w:rPr>
              <w:t>.00</w:t>
            </w:r>
          </w:p>
        </w:tc>
        <w:tc>
          <w:tcPr>
            <w:tcW w:w="25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具有博士研究生学位专任教师比例（%）</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25</w:t>
            </w:r>
            <w:r>
              <w:rPr>
                <w:rFonts w:hint="eastAsia" w:ascii="Times New Roman" w:hAnsi="Times New Roman" w:eastAsia="仿宋_GB2312" w:cs="Times New Roman"/>
                <w:sz w:val="24"/>
                <w:szCs w:val="24"/>
                <w:lang w:val="en-US" w:eastAsia="zh-CN"/>
              </w:rPr>
              <w:t>.00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2023年度面向行业企业和社会开展职业</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培训人次</w:t>
            </w:r>
          </w:p>
        </w:tc>
        <w:tc>
          <w:tcPr>
            <w:tcW w:w="168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111</w:t>
            </w:r>
          </w:p>
        </w:tc>
        <w:tc>
          <w:tcPr>
            <w:tcW w:w="25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2023年度招生计划</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完成率（%）</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2023年度新生</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报到率（%）</w:t>
            </w:r>
          </w:p>
        </w:tc>
        <w:tc>
          <w:tcPr>
            <w:tcW w:w="168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73.91</w:t>
            </w:r>
          </w:p>
        </w:tc>
        <w:tc>
          <w:tcPr>
            <w:tcW w:w="25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2023年度应届生</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就业率（%）</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8732" w:type="dxa"/>
            <w:gridSpan w:val="5"/>
            <w:tcBorders>
              <w:top w:val="single" w:color="000000" w:sz="4" w:space="0"/>
              <w:left w:val="single" w:color="000000" w:sz="4" w:space="0"/>
              <w:bottom w:val="single" w:color="000000" w:sz="4" w:space="0"/>
              <w:right w:val="single" w:color="000000" w:sz="4" w:space="0"/>
            </w:tcBorders>
            <w:vAlign w:val="center"/>
          </w:tcPr>
          <w:p>
            <w:pPr>
              <w:snapToGrid w:val="0"/>
              <w:jc w:val="left"/>
              <w:rPr>
                <w:rFonts w:hint="eastAsia" w:ascii="仿宋" w:hAnsi="仿宋" w:eastAsia="仿宋" w:cs="仿宋"/>
                <w:color w:val="000000" w:themeColor="text1"/>
                <w:sz w:val="24"/>
                <w:szCs w:val="24"/>
                <w14:textFill>
                  <w14:solidFill>
                    <w14:schemeClr w14:val="tx1"/>
                  </w14:solidFill>
                </w14:textFill>
              </w:rPr>
            </w:pPr>
            <w:r>
              <w:rPr>
                <w:rFonts w:hint="eastAsia" w:ascii="仿宋" w:hAnsi="仿宋" w:eastAsia="仿宋" w:cs="仿宋"/>
                <w:b/>
                <w:bCs/>
                <w:color w:val="000000" w:themeColor="text1"/>
                <w:sz w:val="24"/>
                <w:szCs w:val="24"/>
                <w14:textFill>
                  <w14:solidFill>
                    <w14:schemeClr w14:val="tx1"/>
                  </w14:solidFill>
                </w14:textFill>
              </w:rPr>
              <w:t>所依托主要专业基本情况</w:t>
            </w:r>
            <w:r>
              <w:rPr>
                <w:rFonts w:hint="eastAsia" w:ascii="仿宋" w:hAnsi="仿宋" w:eastAsia="仿宋" w:cs="仿宋"/>
                <w:b/>
                <w:bCs/>
                <w:color w:val="000000" w:themeColor="text1"/>
                <w:sz w:val="24"/>
                <w:szCs w:val="24"/>
                <w:lang w:val="en-US" w:eastAsia="zh-CN"/>
                <w14:textFill>
                  <w14:solidFill>
                    <w14:schemeClr w14:val="tx1"/>
                  </w14:solidFill>
                </w14:textFill>
              </w:rPr>
              <w:t>2</w:t>
            </w:r>
            <w:r>
              <w:rPr>
                <w:rFonts w:hint="eastAsia" w:ascii="仿宋" w:hAnsi="仿宋" w:eastAsia="仿宋" w:cs="仿宋"/>
                <w:b/>
                <w:bCs/>
                <w:color w:val="000000" w:themeColor="text1"/>
                <w:sz w:val="24"/>
                <w:szCs w:val="24"/>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专业名称</w:t>
            </w:r>
          </w:p>
        </w:tc>
        <w:tc>
          <w:tcPr>
            <w:tcW w:w="168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智慧健康养老服务与管理</w:t>
            </w:r>
          </w:p>
        </w:tc>
        <w:tc>
          <w:tcPr>
            <w:tcW w:w="25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专业代码</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590302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专业开设时间</w:t>
            </w:r>
          </w:p>
        </w:tc>
        <w:tc>
          <w:tcPr>
            <w:tcW w:w="168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2017</w:t>
            </w:r>
          </w:p>
        </w:tc>
        <w:tc>
          <w:tcPr>
            <w:tcW w:w="25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是否为省级以上</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重点（特色）专业</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本专业全日制</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在校生数（人）</w:t>
            </w:r>
          </w:p>
        </w:tc>
        <w:tc>
          <w:tcPr>
            <w:tcW w:w="168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11</w:t>
            </w:r>
          </w:p>
        </w:tc>
        <w:tc>
          <w:tcPr>
            <w:tcW w:w="25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本专业专任教师</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数（人）</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专任教师与全日制</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在校生人数之比</w:t>
            </w:r>
          </w:p>
        </w:tc>
        <w:tc>
          <w:tcPr>
            <w:tcW w:w="168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rPr>
              <w:t>1:</w:t>
            </w:r>
            <w:r>
              <w:rPr>
                <w:rFonts w:hint="eastAsia" w:ascii="Times New Roman" w:hAnsi="Times New Roman" w:eastAsia="仿宋_GB2312" w:cs="Times New Roman"/>
                <w:sz w:val="24"/>
                <w:szCs w:val="24"/>
                <w:lang w:val="en-US" w:eastAsia="zh-CN"/>
              </w:rPr>
              <w:t>2</w:t>
            </w:r>
          </w:p>
        </w:tc>
        <w:tc>
          <w:tcPr>
            <w:tcW w:w="25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高级职称专任教师</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比例（</w:t>
            </w:r>
            <w:bookmarkStart w:id="0" w:name="_GoBack"/>
            <w:bookmarkEnd w:id="0"/>
            <w:r>
              <w:rPr>
                <w:rFonts w:hint="eastAsia" w:ascii="Times New Roman" w:hAnsi="Times New Roman" w:eastAsia="仿宋_GB2312" w:cs="Times New Roman"/>
                <w:sz w:val="24"/>
                <w:szCs w:val="24"/>
              </w:rPr>
              <w:t>%）</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具有研究生学位</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专任教师比例（%）</w:t>
            </w:r>
          </w:p>
        </w:tc>
        <w:tc>
          <w:tcPr>
            <w:tcW w:w="168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100.00</w:t>
            </w:r>
          </w:p>
        </w:tc>
        <w:tc>
          <w:tcPr>
            <w:tcW w:w="25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具有博士研究生学位专任教师比例（%）</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25.00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2023年度面向行业企业和社会开展职业</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培训人次</w:t>
            </w:r>
          </w:p>
        </w:tc>
        <w:tc>
          <w:tcPr>
            <w:tcW w:w="168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54</w:t>
            </w:r>
          </w:p>
        </w:tc>
        <w:tc>
          <w:tcPr>
            <w:tcW w:w="25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2023年度招生计划</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完成率（%）</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default" w:ascii="Times New Roman" w:hAnsi="Times New Roman" w:eastAsia="仿宋_GB2312" w:cs="Times New Roman"/>
                <w:sz w:val="24"/>
                <w:szCs w:val="24"/>
                <w:lang w:val="en-US" w:eastAsia="zh-CN"/>
              </w:rPr>
            </w:pPr>
            <w:r>
              <w:rPr>
                <w:rFonts w:hint="eastAsia" w:ascii="Times New Roman" w:hAnsi="Times New Roman" w:eastAsia="仿宋_GB2312" w:cs="Times New Roman"/>
                <w:sz w:val="24"/>
                <w:szCs w:val="24"/>
                <w:lang w:val="en-US" w:eastAsia="zh-CN"/>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3" w:hRule="atLeast"/>
          <w:jc w:val="center"/>
        </w:trPr>
        <w:tc>
          <w:tcPr>
            <w:tcW w:w="2689" w:type="dxa"/>
            <w:gridSpan w:val="2"/>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2023年度新生</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报到率（%）</w:t>
            </w:r>
          </w:p>
        </w:tc>
        <w:tc>
          <w:tcPr>
            <w:tcW w:w="1683"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100</w:t>
            </w:r>
          </w:p>
        </w:tc>
        <w:tc>
          <w:tcPr>
            <w:tcW w:w="2569"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2023年度应届生</w:t>
            </w:r>
          </w:p>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就业率（%）</w:t>
            </w:r>
          </w:p>
        </w:tc>
        <w:tc>
          <w:tcPr>
            <w:tcW w:w="1791" w:type="dxa"/>
            <w:tcBorders>
              <w:top w:val="single" w:color="000000" w:sz="4" w:space="0"/>
              <w:left w:val="single" w:color="000000" w:sz="4" w:space="0"/>
              <w:bottom w:val="single" w:color="000000" w:sz="4" w:space="0"/>
              <w:right w:val="single" w:color="000000" w:sz="4" w:space="0"/>
            </w:tcBorders>
            <w:vAlign w:val="center"/>
          </w:tcPr>
          <w:p>
            <w:pPr>
              <w:snapToGrid w:val="0"/>
              <w:jc w:val="center"/>
              <w:rPr>
                <w:rFonts w:hint="eastAsia" w:ascii="Times New Roman" w:hAnsi="Times New Roman" w:eastAsia="仿宋_GB2312" w:cs="Times New Roman"/>
                <w:sz w:val="24"/>
                <w:szCs w:val="24"/>
              </w:rPr>
            </w:pPr>
            <w:r>
              <w:rPr>
                <w:rFonts w:hint="eastAsia" w:ascii="Times New Roman" w:hAnsi="Times New Roman" w:eastAsia="仿宋_GB2312" w:cs="Times New Roman"/>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44" w:hRule="atLeast"/>
          <w:jc w:val="center"/>
        </w:trPr>
        <w:tc>
          <w:tcPr>
            <w:tcW w:w="888" w:type="dxa"/>
            <w:vAlign w:val="center"/>
          </w:tcPr>
          <w:p>
            <w:pPr>
              <w:snapToGrid w:val="0"/>
              <w:jc w:val="center"/>
              <w:rPr>
                <w:rFonts w:ascii="Times New Roman" w:hAnsi="Times New Roman" w:eastAsia="方正仿宋简体" w:cs="Times New Roman"/>
                <w:sz w:val="24"/>
                <w:szCs w:val="24"/>
              </w:rPr>
            </w:pPr>
            <w:r>
              <w:rPr>
                <w:rFonts w:hint="eastAsia" w:ascii="仿宋" w:hAnsi="仿宋" w:eastAsia="仿宋" w:cs="仿宋"/>
                <w:position w:val="6"/>
                <w:sz w:val="24"/>
                <w:szCs w:val="24"/>
              </w:rPr>
              <w:t>拟招生专业设置可行性</w:t>
            </w:r>
          </w:p>
        </w:tc>
        <w:tc>
          <w:tcPr>
            <w:tcW w:w="7844" w:type="dxa"/>
            <w:gridSpan w:val="4"/>
          </w:tcPr>
          <w:p>
            <w:pPr>
              <w:keepNext w:val="0"/>
              <w:keepLines w:val="0"/>
              <w:pageBreakBefore w:val="0"/>
              <w:widowControl w:val="0"/>
              <w:kinsoku/>
              <w:wordWrap/>
              <w:overflowPunct/>
              <w:topLinePunct w:val="0"/>
              <w:autoSpaceDE/>
              <w:autoSpaceDN/>
              <w:bidi w:val="0"/>
              <w:adjustRightInd/>
              <w:snapToGrid w:val="0"/>
              <w:spacing w:line="560" w:lineRule="exact"/>
              <w:ind w:firstLine="420" w:firstLineChars="200"/>
              <w:textAlignment w:val="baseline"/>
              <w:rPr>
                <w:rFonts w:ascii="仿宋" w:hAnsi="仿宋" w:eastAsia="仿宋" w:cs="仿宋"/>
                <w:sz w:val="28"/>
                <w:szCs w:val="28"/>
              </w:rPr>
            </w:pPr>
            <w:r>
              <w:rPr>
                <w:rFonts w:hint="eastAsia"/>
              </w:rPr>
              <w:t xml:space="preserve"> </w:t>
            </w:r>
            <w:r>
              <w:rPr>
                <w:rFonts w:hint="eastAsia" w:ascii="黑体" w:hAnsi="黑体" w:eastAsia="黑体" w:cs="黑体"/>
                <w:sz w:val="28"/>
                <w:szCs w:val="28"/>
              </w:rPr>
              <w:t xml:space="preserve"> 一、行业/企业调研分析</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baseline"/>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color w:val="000000" w:themeColor="text1"/>
                <w:sz w:val="28"/>
                <w:szCs w:val="28"/>
                <w14:textFill>
                  <w14:solidFill>
                    <w14:schemeClr w14:val="tx1"/>
                  </w14:solidFill>
                </w14:textFill>
              </w:rPr>
              <w:t>二十大报告提出，实施积极应对人口老龄化国家战略，发展养老事业和养老产业。2022年7月，国家卫生健康委等11部门联合印发《关于进一步推进医养结合发展的指导意见》指出，加快推进医疗卫生与养老服务紧缺人才培养。表明对设立和发展中药学专业具有迫切需求。可见在多重政策利好下，未来养老产业将迎来发展黄金期。</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baseline"/>
              <w:rPr>
                <w:rFonts w:ascii="仿宋" w:hAnsi="仿宋" w:eastAsia="仿宋" w:cs="仿宋"/>
                <w:sz w:val="28"/>
                <w:szCs w:val="28"/>
                <w:highlight w:val="darkGreen"/>
              </w:rPr>
            </w:pPr>
            <w:r>
              <w:rPr>
                <w:rFonts w:hint="eastAsia" w:ascii="仿宋" w:hAnsi="仿宋" w:eastAsia="仿宋" w:cs="仿宋"/>
                <w:sz w:val="28"/>
                <w:szCs w:val="28"/>
              </w:rPr>
              <w:t>据家政平台数据显示，高级养老护理员月薪5500元起步，在一线城市平均月收入8000元左右，健康管理师的月工资在5000-10000元之间，医养行业内的相关岗位待遇可观。</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baseline"/>
              <w:rPr>
                <w:rFonts w:ascii="黑体" w:hAnsi="黑体" w:eastAsia="黑体" w:cs="黑体"/>
                <w:sz w:val="28"/>
                <w:szCs w:val="28"/>
              </w:rPr>
            </w:pPr>
            <w:r>
              <w:rPr>
                <w:rFonts w:hint="eastAsia" w:ascii="黑体" w:hAnsi="黑体" w:eastAsia="黑体" w:cs="黑体"/>
                <w:sz w:val="28"/>
                <w:szCs w:val="28"/>
              </w:rPr>
              <w:t>二、人才供给情况分析</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baseline"/>
              <w:rPr>
                <w:rFonts w:ascii="黑体" w:hAnsi="黑体" w:eastAsia="黑体" w:cs="黑体"/>
                <w:sz w:val="28"/>
                <w:szCs w:val="28"/>
              </w:rPr>
            </w:pPr>
            <w:r>
              <w:rPr>
                <w:rFonts w:hint="eastAsia" w:ascii="仿宋" w:hAnsi="仿宋" w:eastAsia="仿宋" w:cs="仿宋"/>
                <w:sz w:val="28"/>
                <w:szCs w:val="28"/>
              </w:rPr>
              <w:t>“十四五”时期，我国人口老龄化程度进一步加深。截至2021年底，我国65岁及以上人口占总人口的14.2%。据中国人口与发展研究中心预测，到2025年，65岁及以上的人口将达到2.21亿。推进医养结合是优化老年健康和养老服务供给的重要举措，是积极应对人口老龄化、增强老年人获得感和满意度的重要途径。我国对养老护理员的需求达到600万名，但目前相关从业人员只有50万名，特别是具有医养结合技能的长期护理服务人员十分紧缺，对</w:t>
            </w:r>
            <w:r>
              <w:rPr>
                <w:rFonts w:hint="eastAsia" w:ascii="仿宋" w:hAnsi="仿宋" w:eastAsia="仿宋" w:cs="仿宋"/>
                <w:color w:val="000000" w:themeColor="text1"/>
                <w:sz w:val="28"/>
                <w:szCs w:val="28"/>
                <w14:textFill>
                  <w14:solidFill>
                    <w14:schemeClr w14:val="tx1"/>
                  </w14:solidFill>
                </w14:textFill>
              </w:rPr>
              <w:t>医养照护与管理专业高层次技术技能人才</w:t>
            </w:r>
            <w:r>
              <w:rPr>
                <w:rFonts w:hint="eastAsia" w:ascii="仿宋" w:hAnsi="仿宋" w:eastAsia="仿宋" w:cs="仿宋"/>
                <w:sz w:val="28"/>
                <w:szCs w:val="28"/>
              </w:rPr>
              <w:t>需求急剧增加</w:t>
            </w:r>
            <w:r>
              <w:rPr>
                <w:rFonts w:hint="eastAsia" w:ascii="仿宋" w:hAnsi="仿宋" w:eastAsia="仿宋" w:cs="仿宋"/>
                <w:color w:val="000000" w:themeColor="text1"/>
                <w:sz w:val="28"/>
                <w:szCs w:val="28"/>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baseline"/>
              <w:rPr>
                <w:rFonts w:ascii="黑体" w:hAnsi="黑体" w:eastAsia="黑体" w:cs="黑体"/>
                <w:sz w:val="28"/>
                <w:szCs w:val="28"/>
              </w:rPr>
            </w:pPr>
            <w:r>
              <w:rPr>
                <w:rFonts w:hint="eastAsia" w:ascii="黑体" w:hAnsi="黑体" w:eastAsia="黑体" w:cs="黑体"/>
                <w:sz w:val="28"/>
                <w:szCs w:val="28"/>
              </w:rPr>
              <w:t>三、办学基础和专业特色</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baseline"/>
              <w:rPr>
                <w:rFonts w:ascii="楷体" w:hAnsi="楷体" w:eastAsia="楷体" w:cs="楷体"/>
                <w:sz w:val="28"/>
                <w:szCs w:val="28"/>
              </w:rPr>
            </w:pPr>
            <w:r>
              <w:rPr>
                <w:rFonts w:hint="eastAsia" w:ascii="楷体" w:hAnsi="楷体" w:eastAsia="楷体" w:cs="楷体"/>
                <w:sz w:val="28"/>
                <w:szCs w:val="28"/>
              </w:rPr>
              <w:t>（一）办学基础良好</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baseline"/>
              <w:rPr>
                <w:rFonts w:ascii="仿宋" w:hAnsi="仿宋" w:eastAsia="仿宋" w:cs="仿宋"/>
                <w:color w:val="000000" w:themeColor="text1"/>
                <w:sz w:val="28"/>
                <w:szCs w:val="28"/>
                <w14:textFill>
                  <w14:solidFill>
                    <w14:schemeClr w14:val="tx1"/>
                  </w14:solidFill>
                </w14:textFill>
              </w:rPr>
            </w:pPr>
            <w:r>
              <w:rPr>
                <w:rFonts w:hint="eastAsia" w:ascii="仿宋" w:hAnsi="仿宋" w:eastAsia="仿宋" w:cs="仿宋"/>
                <w:sz w:val="28"/>
                <w:szCs w:val="28"/>
              </w:rPr>
              <w:t>学校教学基础设施齐全，现有214间多媒体教室，图书馆纸质藏书222.74万册；电子图书178.16万册。</w:t>
            </w:r>
            <w:r>
              <w:rPr>
                <w:rFonts w:hint="eastAsia" w:ascii="仿宋" w:hAnsi="仿宋" w:eastAsia="仿宋" w:cs="仿宋"/>
                <w:color w:val="000000" w:themeColor="text1"/>
                <w:sz w:val="28"/>
                <w:szCs w:val="28"/>
                <w14:textFill>
                  <w14:solidFill>
                    <w14:schemeClr w14:val="tx1"/>
                  </w14:solidFill>
                </w14:textFill>
              </w:rPr>
              <w:t>校内已建成</w:t>
            </w:r>
            <w:r>
              <w:rPr>
                <w:rFonts w:hint="eastAsia" w:ascii="仿宋" w:hAnsi="仿宋" w:eastAsia="仿宋" w:cs="仿宋"/>
                <w:sz w:val="28"/>
                <w:szCs w:val="28"/>
              </w:rPr>
              <w:t>医护保健实验实训中心，为医养照护与管理专业提供办学条件。此外我校已与广西重阳老年公寓、南宁市五象养老服务中心等8家单位签订校院（企）合作协议，共同制定专业人才培养方案，并且合作建立校外实训基地。</w:t>
            </w:r>
            <w:r>
              <w:rPr>
                <w:rFonts w:hint="eastAsia" w:ascii="仿宋" w:hAnsi="仿宋" w:eastAsia="仿宋" w:cs="仿宋"/>
                <w:color w:val="000000" w:themeColor="text1"/>
                <w:sz w:val="28"/>
                <w:szCs w:val="28"/>
                <w14:textFill>
                  <w14:solidFill>
                    <w14:schemeClr w14:val="tx1"/>
                  </w14:solidFill>
                </w14:textFill>
              </w:rPr>
              <w:t>本专业还拥有一支结构合理，整体素质优良的师资队伍，能满足专业教学、研究、实习实训的需要。</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baseline"/>
              <w:rPr>
                <w:rFonts w:ascii="仿宋" w:hAnsi="仿宋" w:eastAsia="仿宋" w:cs="仿宋"/>
                <w:sz w:val="28"/>
                <w:szCs w:val="28"/>
              </w:rPr>
            </w:pPr>
            <w:r>
              <w:rPr>
                <w:rFonts w:hint="eastAsia" w:ascii="楷体" w:hAnsi="楷体" w:eastAsia="楷体" w:cs="楷体"/>
                <w:sz w:val="28"/>
                <w:szCs w:val="28"/>
              </w:rPr>
              <w:t>（二）专业特色鲜明</w:t>
            </w:r>
            <w:r>
              <w:rPr>
                <w:rFonts w:hint="eastAsia" w:ascii="仿宋" w:hAnsi="仿宋" w:eastAsia="仿宋" w:cs="仿宋"/>
                <w:sz w:val="28"/>
                <w:szCs w:val="28"/>
              </w:rPr>
              <w:t>。</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jc w:val="left"/>
              <w:textAlignment w:val="baseline"/>
              <w:rPr>
                <w:rFonts w:ascii="仿宋" w:hAnsi="仿宋" w:eastAsia="仿宋" w:cs="仿宋"/>
                <w:sz w:val="28"/>
                <w:szCs w:val="28"/>
              </w:rPr>
            </w:pPr>
            <w:r>
              <w:rPr>
                <w:rFonts w:hint="eastAsia" w:ascii="仿宋" w:hAnsi="仿宋" w:eastAsia="仿宋" w:cs="仿宋"/>
                <w:sz w:val="28"/>
                <w:szCs w:val="28"/>
              </w:rPr>
              <w:t>本专业坚持以人为本，以胜任医养照护与管理的相关岗位和顺应市场需求为导向，构建并实施“双导师+”人才培养模式。</w:t>
            </w:r>
          </w:p>
          <w:p>
            <w:pPr>
              <w:keepNext w:val="0"/>
              <w:keepLines w:val="0"/>
              <w:pageBreakBefore w:val="0"/>
              <w:widowControl w:val="0"/>
              <w:kinsoku/>
              <w:wordWrap/>
              <w:overflowPunct/>
              <w:topLinePunct w:val="0"/>
              <w:autoSpaceDE/>
              <w:autoSpaceDN/>
              <w:bidi w:val="0"/>
              <w:adjustRightInd/>
              <w:snapToGrid w:val="0"/>
              <w:spacing w:line="560" w:lineRule="exact"/>
              <w:jc w:val="left"/>
              <w:textAlignment w:val="baseline"/>
              <w:rPr>
                <w:rFonts w:ascii="仿宋" w:hAnsi="仿宋" w:eastAsia="仿宋" w:cs="仿宋"/>
                <w:sz w:val="28"/>
                <w:szCs w:val="28"/>
              </w:rPr>
            </w:pPr>
            <w:r>
              <w:rPr>
                <w:rFonts w:hint="eastAsia" w:ascii="仿宋" w:hAnsi="仿宋" w:eastAsia="仿宋" w:cs="仿宋"/>
                <w:sz w:val="28"/>
                <w:szCs w:val="28"/>
              </w:rPr>
              <w:t>校内安排专任教师和企业专家同时担任学生导师，同时结合市场和学生的需求有针对性地安排多名导师，因材施教，确保学生能够全方位发展并有收获。同时，专业与崇左市人民医院等企业展开深度合作，采用“四引四融”的方式，培养全生命周期的医养照护与管理人才。</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baseline"/>
              <w:rPr>
                <w:rFonts w:ascii="黑体" w:hAnsi="黑体" w:eastAsia="黑体" w:cs="黑体"/>
                <w:sz w:val="28"/>
                <w:szCs w:val="28"/>
              </w:rPr>
            </w:pPr>
            <w:r>
              <w:rPr>
                <w:rFonts w:hint="eastAsia" w:ascii="黑体" w:hAnsi="黑体" w:eastAsia="黑体" w:cs="黑体"/>
                <w:sz w:val="28"/>
                <w:szCs w:val="28"/>
              </w:rPr>
              <w:t>四、保障措施及相关制度</w:t>
            </w:r>
          </w:p>
          <w:p>
            <w:pPr>
              <w:keepNext w:val="0"/>
              <w:keepLines w:val="0"/>
              <w:pageBreakBefore w:val="0"/>
              <w:widowControl w:val="0"/>
              <w:kinsoku/>
              <w:wordWrap/>
              <w:overflowPunct/>
              <w:topLinePunct w:val="0"/>
              <w:autoSpaceDE/>
              <w:autoSpaceDN/>
              <w:bidi w:val="0"/>
              <w:adjustRightInd/>
              <w:snapToGrid w:val="0"/>
              <w:spacing w:line="560" w:lineRule="exact"/>
              <w:ind w:firstLine="560" w:firstLineChars="200"/>
              <w:textAlignment w:val="baseline"/>
            </w:pPr>
            <w:r>
              <w:rPr>
                <w:rFonts w:hint="eastAsia" w:ascii="仿宋" w:hAnsi="仿宋" w:eastAsia="仿宋" w:cs="仿宋"/>
                <w:color w:val="000000" w:themeColor="text1"/>
                <w:sz w:val="28"/>
                <w:szCs w:val="28"/>
                <w14:textFill>
                  <w14:solidFill>
                    <w14:schemeClr w14:val="tx1"/>
                  </w14:solidFill>
                </w14:textFill>
              </w:rPr>
              <w:t>通过设立组织架构，加大经费投入，建立健全专业建设监督机制，确立质量评价体系，保障专业可持续发展。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vAlign w:val="center"/>
          </w:tcPr>
          <w:p>
            <w:pPr>
              <w:snapToGrid w:val="0"/>
              <w:jc w:val="center"/>
              <w:rPr>
                <w:rFonts w:ascii="仿宋" w:hAnsi="仿宋" w:eastAsia="仿宋" w:cs="仿宋"/>
                <w:sz w:val="24"/>
                <w:szCs w:val="24"/>
              </w:rPr>
            </w:pPr>
            <w:r>
              <w:rPr>
                <w:rFonts w:hint="eastAsia" w:ascii="仿宋" w:hAnsi="仿宋" w:eastAsia="仿宋" w:cs="仿宋"/>
                <w:sz w:val="24"/>
                <w:szCs w:val="24"/>
              </w:rPr>
              <w:t>教师队伍</w:t>
            </w:r>
          </w:p>
          <w:p>
            <w:pPr>
              <w:snapToGrid w:val="0"/>
              <w:jc w:val="center"/>
              <w:rPr>
                <w:rFonts w:ascii="Times New Roman" w:hAnsi="Times New Roman" w:eastAsia="仿宋_GB2312" w:cs="Times New Roman"/>
                <w:sz w:val="24"/>
                <w:szCs w:val="24"/>
              </w:rPr>
            </w:pPr>
            <w:r>
              <w:rPr>
                <w:rFonts w:hint="eastAsia" w:ascii="仿宋" w:hAnsi="仿宋" w:eastAsia="仿宋" w:cs="仿宋"/>
                <w:sz w:val="24"/>
                <w:szCs w:val="24"/>
              </w:rPr>
              <w:t>情况要点</w:t>
            </w:r>
          </w:p>
        </w:tc>
        <w:tc>
          <w:tcPr>
            <w:tcW w:w="7844" w:type="dxa"/>
            <w:gridSpan w:val="4"/>
          </w:tcPr>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ascii="仿宋" w:hAnsi="仿宋" w:eastAsia="仿宋" w:cs="方正仿宋_GB2312"/>
                <w:sz w:val="28"/>
                <w:szCs w:val="28"/>
              </w:rPr>
            </w:pPr>
            <w:r>
              <w:rPr>
                <w:rFonts w:hint="eastAsia" w:ascii="仿宋" w:hAnsi="仿宋" w:eastAsia="仿宋" w:cs="方正仿宋_GB2312"/>
                <w:sz w:val="28"/>
                <w:szCs w:val="28"/>
              </w:rPr>
              <w:t>所依托专业中</w:t>
            </w:r>
            <w:r>
              <w:rPr>
                <w:rFonts w:hint="eastAsia" w:ascii="仿宋" w:hAnsi="仿宋" w:eastAsia="仿宋" w:cs="方正仿宋_GB2312"/>
                <w:sz w:val="28"/>
                <w:szCs w:val="28"/>
                <w:lang w:val="en-US" w:eastAsia="zh-CN"/>
              </w:rPr>
              <w:t>师资情况</w:t>
            </w:r>
            <w:r>
              <w:rPr>
                <w:rFonts w:hint="eastAsia" w:ascii="仿宋" w:hAnsi="仿宋" w:eastAsia="仿宋" w:cs="方正仿宋_GB2312"/>
                <w:sz w:val="28"/>
                <w:szCs w:val="28"/>
              </w:rPr>
              <w:t>具体如下：</w:t>
            </w:r>
          </w:p>
          <w:p>
            <w:pPr>
              <w:keepNext w:val="0"/>
              <w:keepLines w:val="0"/>
              <w:pageBreakBefore w:val="0"/>
              <w:widowControl w:val="0"/>
              <w:kinsoku/>
              <w:wordWrap/>
              <w:overflowPunct/>
              <w:topLinePunct w:val="0"/>
              <w:autoSpaceDE/>
              <w:autoSpaceDN/>
              <w:bidi w:val="0"/>
              <w:snapToGrid w:val="0"/>
              <w:spacing w:line="560" w:lineRule="exact"/>
              <w:ind w:firstLine="560" w:firstLineChars="200"/>
              <w:textAlignment w:val="baseline"/>
              <w:rPr>
                <w:rFonts w:ascii="黑体" w:hAnsi="黑体" w:eastAsia="黑体" w:cs="黑体"/>
                <w:color w:val="000000" w:themeColor="text1"/>
                <w:sz w:val="28"/>
                <w:szCs w:val="28"/>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一、师资队伍基本情况</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ascii="仿宋" w:hAnsi="仿宋" w:eastAsia="仿宋" w:cs="方正仿宋_GB2312"/>
                <w:sz w:val="28"/>
                <w:szCs w:val="28"/>
                <w:highlight w:val="none"/>
              </w:rPr>
            </w:pPr>
            <w:r>
              <w:rPr>
                <w:rFonts w:hint="eastAsia" w:ascii="仿宋" w:hAnsi="仿宋" w:eastAsia="仿宋" w:cs="方正仿宋_GB2312"/>
                <w:sz w:val="28"/>
                <w:szCs w:val="28"/>
                <w:highlight w:val="none"/>
              </w:rPr>
              <w:t>专任教师与全日制在校生人数之比为1:</w:t>
            </w:r>
            <w:r>
              <w:rPr>
                <w:rFonts w:hint="eastAsia" w:ascii="仿宋" w:hAnsi="仿宋" w:eastAsia="仿宋" w:cs="方正仿宋_GB2312"/>
                <w:sz w:val="28"/>
                <w:szCs w:val="28"/>
                <w:highlight w:val="none"/>
                <w:lang w:val="en-US" w:eastAsia="zh-CN"/>
              </w:rPr>
              <w:t>4.64</w:t>
            </w:r>
            <w:r>
              <w:rPr>
                <w:rFonts w:hint="eastAsia" w:ascii="仿宋" w:hAnsi="仿宋" w:eastAsia="仿宋" w:cs="方正仿宋_GB2312"/>
                <w:sz w:val="28"/>
                <w:szCs w:val="28"/>
                <w:highlight w:val="none"/>
              </w:rPr>
              <w:t>，高级职称专任教师比例为</w:t>
            </w:r>
            <w:r>
              <w:rPr>
                <w:rFonts w:hint="eastAsia" w:ascii="仿宋" w:hAnsi="仿宋" w:eastAsia="仿宋" w:cs="方正仿宋_GB2312"/>
                <w:sz w:val="28"/>
                <w:szCs w:val="28"/>
                <w:highlight w:val="none"/>
                <w:lang w:val="en-US" w:eastAsia="zh-CN"/>
              </w:rPr>
              <w:t>58.33</w:t>
            </w:r>
            <w:r>
              <w:rPr>
                <w:rFonts w:hint="eastAsia" w:ascii="仿宋" w:hAnsi="仿宋" w:eastAsia="仿宋" w:cs="方正仿宋_GB2312"/>
                <w:sz w:val="28"/>
                <w:szCs w:val="28"/>
                <w:highlight w:val="none"/>
              </w:rPr>
              <w:t>%，具有研究生学位专任教师比例为</w:t>
            </w:r>
            <w:r>
              <w:rPr>
                <w:rFonts w:hint="eastAsia" w:ascii="仿宋" w:hAnsi="仿宋" w:eastAsia="仿宋" w:cs="方正仿宋_GB2312"/>
                <w:sz w:val="28"/>
                <w:szCs w:val="28"/>
                <w:highlight w:val="none"/>
                <w:lang w:val="en-US" w:eastAsia="zh-CN"/>
              </w:rPr>
              <w:t>66.67</w:t>
            </w:r>
            <w:r>
              <w:rPr>
                <w:rFonts w:hint="eastAsia" w:ascii="仿宋" w:hAnsi="仿宋" w:eastAsia="仿宋" w:cs="方正仿宋_GB2312"/>
                <w:sz w:val="28"/>
                <w:szCs w:val="28"/>
                <w:highlight w:val="none"/>
              </w:rPr>
              <w:t>%，具有博士研究生学位专任教师比例为25</w:t>
            </w:r>
            <w:r>
              <w:rPr>
                <w:rFonts w:hint="eastAsia" w:ascii="仿宋" w:hAnsi="仿宋" w:eastAsia="仿宋" w:cs="方正仿宋_GB2312"/>
                <w:sz w:val="28"/>
                <w:szCs w:val="28"/>
                <w:highlight w:val="none"/>
                <w:lang w:val="en-US" w:eastAsia="zh-CN"/>
              </w:rPr>
              <w:t>.00</w:t>
            </w:r>
            <w:r>
              <w:rPr>
                <w:rFonts w:hint="eastAsia" w:ascii="仿宋" w:hAnsi="仿宋" w:eastAsia="仿宋" w:cs="方正仿宋_GB2312"/>
                <w:sz w:val="28"/>
                <w:szCs w:val="28"/>
                <w:highlight w:val="none"/>
              </w:rPr>
              <w:t>%，“双师型”教师占比为50.00%。</w:t>
            </w:r>
            <w:r>
              <w:rPr>
                <w:rFonts w:hint="eastAsia" w:ascii="仿宋" w:hAnsi="仿宋" w:eastAsia="仿宋" w:cs="仿宋"/>
                <w:sz w:val="28"/>
                <w:szCs w:val="28"/>
                <w:highlight w:val="none"/>
              </w:rPr>
              <w:t>来自行业企业一线的兼职教师占一定比例并有实质性专业教学任务，其所承担的专业课教学任务授课课时占专业总课时比例29.63%。</w:t>
            </w:r>
          </w:p>
          <w:p>
            <w:pPr>
              <w:keepNext w:val="0"/>
              <w:keepLines w:val="0"/>
              <w:pageBreakBefore w:val="0"/>
              <w:widowControl w:val="0"/>
              <w:kinsoku/>
              <w:wordWrap/>
              <w:overflowPunct/>
              <w:topLinePunct w:val="0"/>
              <w:autoSpaceDE/>
              <w:autoSpaceDN/>
              <w:bidi w:val="0"/>
              <w:snapToGrid w:val="0"/>
              <w:spacing w:line="560" w:lineRule="exact"/>
              <w:ind w:firstLine="560" w:firstLineChars="200"/>
              <w:textAlignment w:val="baseline"/>
              <w:rPr>
                <w:rFonts w:ascii="仿宋" w:hAnsi="仿宋" w:eastAsia="仿宋" w:cs="仿宋"/>
                <w:color w:val="000000" w:themeColor="text1"/>
                <w14:textFill>
                  <w14:solidFill>
                    <w14:schemeClr w14:val="tx1"/>
                  </w14:solidFill>
                </w14:textFill>
              </w:rPr>
            </w:pPr>
            <w:r>
              <w:rPr>
                <w:rFonts w:hint="eastAsia" w:ascii="黑体" w:hAnsi="黑体" w:eastAsia="黑体" w:cs="黑体"/>
                <w:color w:val="000000" w:themeColor="text1"/>
                <w:sz w:val="28"/>
                <w:szCs w:val="28"/>
                <w14:textFill>
                  <w14:solidFill>
                    <w14:schemeClr w14:val="tx1"/>
                  </w14:solidFill>
                </w14:textFill>
              </w:rPr>
              <w:t>二、教学团队省级及以上教学奖励情况</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jc w:val="both"/>
              <w:rPr>
                <w:rFonts w:ascii="仿宋" w:hAnsi="仿宋" w:eastAsia="仿宋" w:cs="方正仿宋_GB2312"/>
                <w:sz w:val="28"/>
                <w:szCs w:val="28"/>
              </w:rPr>
            </w:pPr>
            <w:r>
              <w:rPr>
                <w:rFonts w:hint="eastAsia" w:ascii="仿宋" w:hAnsi="仿宋" w:eastAsia="仿宋" w:cs="方正仿宋_GB2312"/>
                <w:sz w:val="28"/>
                <w:szCs w:val="28"/>
              </w:rPr>
              <w:t>专业教师获省级及以上教学领域有关奖励2项，其中</w:t>
            </w:r>
          </w:p>
          <w:p>
            <w:pPr>
              <w:keepNext w:val="0"/>
              <w:keepLines w:val="0"/>
              <w:pageBreakBefore w:val="0"/>
              <w:widowControl w:val="0"/>
              <w:kinsoku/>
              <w:wordWrap/>
              <w:overflowPunct/>
              <w:topLinePunct w:val="0"/>
              <w:autoSpaceDE/>
              <w:autoSpaceDN/>
              <w:bidi w:val="0"/>
              <w:adjustRightInd w:val="0"/>
              <w:snapToGrid w:val="0"/>
              <w:spacing w:line="560" w:lineRule="exact"/>
              <w:jc w:val="both"/>
              <w:rPr>
                <w:rFonts w:ascii="仿宋" w:hAnsi="仿宋" w:eastAsia="仿宋" w:cs="方正仿宋_GB2312"/>
                <w:sz w:val="28"/>
                <w:szCs w:val="28"/>
              </w:rPr>
            </w:pPr>
            <w:r>
              <w:rPr>
                <w:rFonts w:hint="eastAsia" w:ascii="仿宋" w:hAnsi="仿宋" w:eastAsia="仿宋" w:cs="方正仿宋_GB2312"/>
                <w:sz w:val="28"/>
                <w:szCs w:val="28"/>
              </w:rPr>
              <w:t>获得国家级教学成果二等奖1项；自治区级教学成果二等奖1项，课堂教学和教学改革研究方面取得了较好的成果。</w:t>
            </w:r>
          </w:p>
          <w:p>
            <w:pPr>
              <w:keepNext w:val="0"/>
              <w:keepLines w:val="0"/>
              <w:pageBreakBefore w:val="0"/>
              <w:widowControl w:val="0"/>
              <w:kinsoku/>
              <w:wordWrap/>
              <w:overflowPunct/>
              <w:topLinePunct w:val="0"/>
              <w:autoSpaceDE/>
              <w:autoSpaceDN/>
              <w:bidi w:val="0"/>
              <w:snapToGrid w:val="0"/>
              <w:spacing w:line="560" w:lineRule="exact"/>
              <w:ind w:firstLine="560" w:firstLineChars="200"/>
              <w:textAlignment w:val="baseline"/>
              <w:rPr>
                <w:rFonts w:ascii="仿宋" w:hAnsi="仿宋" w:eastAsia="仿宋" w:cs="方正仿宋_GB2312"/>
                <w:sz w:val="28"/>
                <w:szCs w:val="28"/>
              </w:rPr>
            </w:pPr>
            <w:r>
              <w:rPr>
                <w:rFonts w:hint="eastAsia" w:ascii="黑体" w:hAnsi="黑体" w:eastAsia="黑体" w:cs="黑体"/>
                <w:color w:val="000000" w:themeColor="text1"/>
                <w:sz w:val="28"/>
                <w:szCs w:val="28"/>
                <w14:textFill>
                  <w14:solidFill>
                    <w14:schemeClr w14:val="tx1"/>
                  </w14:solidFill>
                </w14:textFill>
              </w:rPr>
              <w:t>三、专业带头人简介</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ascii="仿宋" w:hAnsi="仿宋" w:eastAsia="仿宋" w:cs="方正仿宋_GB2312"/>
                <w:sz w:val="28"/>
                <w:szCs w:val="28"/>
              </w:rPr>
            </w:pPr>
            <w:r>
              <w:rPr>
                <w:rFonts w:hint="eastAsia" w:ascii="仿宋" w:hAnsi="仿宋" w:eastAsia="仿宋" w:cs="方正仿宋_GB2312"/>
                <w:sz w:val="28"/>
                <w:szCs w:val="28"/>
              </w:rPr>
              <w:t>医养照护与管理专业带头人廖海涛。从事医学教育工作40年，任广西药理学会副理事长。研究领域：血管损伤与药物干预基础研究、医学教育教学。主持和主要参加国家自然科学基金、广西自然科学基金、广西卫生厅重点课题、广西教育规划课题、广西职业教育教改课题等20多项。获国家教学成果二等奖1项，全国多媒体课件大赛一等奖1项，中华医学会医学教育研究课题三等奖1项，区教学成果二等奖1项、三等奖1项，区高校教学软件大赛二等奖3项、三等奖2项。广西职业教育教学优秀论文一等奖2篇。以第一/通讯作者发表论文36篇。主编参编教材8部。承担《生理学》《生物化学》《人体解剖学》等课程的教学任务。</w:t>
            </w:r>
          </w:p>
          <w:p>
            <w:pPr>
              <w:snapToGrid w:val="0"/>
              <w:jc w:val="left"/>
              <w:rPr>
                <w:rFonts w:ascii="Times New Roman" w:hAnsi="Times New Roman" w:eastAsia="方正仿宋简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0" w:hRule="atLeast"/>
          <w:jc w:val="center"/>
        </w:trPr>
        <w:tc>
          <w:tcPr>
            <w:tcW w:w="888" w:type="dxa"/>
            <w:vAlign w:val="center"/>
          </w:tcPr>
          <w:p>
            <w:pPr>
              <w:snapToGrid w:val="0"/>
              <w:jc w:val="center"/>
              <w:rPr>
                <w:rFonts w:ascii="仿宋" w:hAnsi="仿宋" w:eastAsia="仿宋" w:cs="仿宋"/>
                <w:sz w:val="24"/>
                <w:szCs w:val="24"/>
              </w:rPr>
            </w:pPr>
            <w:r>
              <w:rPr>
                <w:rFonts w:hint="eastAsia" w:ascii="仿宋" w:hAnsi="仿宋" w:eastAsia="仿宋" w:cs="仿宋"/>
                <w:sz w:val="24"/>
                <w:szCs w:val="24"/>
              </w:rPr>
              <w:t>专业人才</w:t>
            </w:r>
          </w:p>
          <w:p>
            <w:pPr>
              <w:snapToGrid w:val="0"/>
              <w:jc w:val="center"/>
              <w:rPr>
                <w:rFonts w:ascii="Times New Roman" w:hAnsi="Times New Roman" w:eastAsia="仿宋_GB2312" w:cs="Times New Roman"/>
                <w:sz w:val="24"/>
                <w:szCs w:val="24"/>
              </w:rPr>
            </w:pPr>
            <w:r>
              <w:rPr>
                <w:rFonts w:hint="eastAsia" w:ascii="仿宋" w:hAnsi="仿宋" w:eastAsia="仿宋" w:cs="仿宋"/>
                <w:sz w:val="24"/>
                <w:szCs w:val="24"/>
              </w:rPr>
              <w:t>培养方案要点</w:t>
            </w:r>
          </w:p>
        </w:tc>
        <w:tc>
          <w:tcPr>
            <w:tcW w:w="7844" w:type="dxa"/>
            <w:gridSpan w:val="4"/>
          </w:tcPr>
          <w:p>
            <w:pPr>
              <w:pStyle w:val="19"/>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jc w:val="left"/>
              <w:textAlignment w:val="auto"/>
              <w:rPr>
                <w:rFonts w:ascii="黑体" w:hAnsi="黑体" w:eastAsia="黑体" w:cs="黑体"/>
                <w:sz w:val="28"/>
                <w:szCs w:val="28"/>
              </w:rPr>
            </w:pPr>
            <w:r>
              <w:rPr>
                <w:rFonts w:hint="eastAsia" w:ascii="黑体" w:hAnsi="黑体" w:eastAsia="黑体" w:cs="黑体"/>
                <w:sz w:val="28"/>
                <w:szCs w:val="28"/>
              </w:rPr>
              <w:t>一、专业定位</w:t>
            </w:r>
          </w:p>
          <w:p>
            <w:pPr>
              <w:pStyle w:val="19"/>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textAlignment w:val="auto"/>
              <w:rPr>
                <w:rFonts w:ascii="仿宋" w:hAnsi="仿宋" w:eastAsia="仿宋" w:cs="方正仿宋_GB2312"/>
                <w:sz w:val="28"/>
                <w:szCs w:val="28"/>
              </w:rPr>
            </w:pPr>
            <w:r>
              <w:rPr>
                <w:rFonts w:hint="eastAsia" w:ascii="仿宋" w:hAnsi="仿宋" w:eastAsia="仿宋" w:cs="仿宋"/>
                <w:color w:val="000000" w:themeColor="text1"/>
                <w:kern w:val="0"/>
                <w:sz w:val="28"/>
                <w:szCs w:val="28"/>
                <w14:textFill>
                  <w14:solidFill>
                    <w14:schemeClr w14:val="tx1"/>
                  </w14:solidFill>
                </w14:textFill>
              </w:rPr>
              <w:t>以区域经济发展需求为出发点，服务大健康产业发展，做好培养优质</w:t>
            </w:r>
            <w:r>
              <w:rPr>
                <w:rFonts w:hint="eastAsia" w:ascii="仿宋" w:hAnsi="仿宋" w:eastAsia="仿宋" w:cs="仿宋"/>
                <w:color w:val="000000" w:themeColor="text1"/>
                <w:kern w:val="0"/>
                <w:sz w:val="28"/>
                <w:szCs w:val="28"/>
                <w:highlight w:val="none"/>
                <w14:textFill>
                  <w14:solidFill>
                    <w14:schemeClr w14:val="tx1"/>
                  </w14:solidFill>
                </w14:textFill>
              </w:rPr>
              <w:t>人才，以国家人社部公布的职业技能标准为参考，积极与行业头部企业走访调研，“</w:t>
            </w:r>
            <w:r>
              <w:rPr>
                <w:rFonts w:hint="eastAsia" w:ascii="仿宋" w:hAnsi="仿宋" w:eastAsia="仿宋" w:cs="仿宋"/>
                <w:color w:val="000000" w:themeColor="text1"/>
                <w:kern w:val="0"/>
                <w:sz w:val="28"/>
                <w:szCs w:val="28"/>
                <w14:textFill>
                  <w14:solidFill>
                    <w14:schemeClr w14:val="tx1"/>
                  </w14:solidFill>
                </w14:textFill>
              </w:rPr>
              <w:t>从医出发，医养结合”，开展医养人才学历教育,医养结合与健康管理“医养结合人才培养”培训项目，构建以职业需求为导向、以职业技能为核心、以科创实践为特色，对接1＋X证书，通过创新融入养老照护技术、老年照护、康复护理技术等一系列专项技能认证资质。为社会培养输送综合素质好、专业技能强、职业化程度高的高层次技术技能的医养照护与管理人才。力争建设成为广西特色、全国有影响的知名专业。</w:t>
            </w:r>
          </w:p>
          <w:p>
            <w:pPr>
              <w:pStyle w:val="19"/>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jc w:val="left"/>
              <w:textAlignment w:val="auto"/>
              <w:rPr>
                <w:rFonts w:ascii="黑体" w:hAnsi="黑体" w:eastAsia="黑体" w:cs="黑体"/>
                <w:sz w:val="28"/>
                <w:szCs w:val="28"/>
              </w:rPr>
            </w:pPr>
            <w:r>
              <w:rPr>
                <w:rFonts w:hint="eastAsia" w:ascii="黑体" w:hAnsi="黑体" w:eastAsia="黑体" w:cs="黑体"/>
                <w:sz w:val="28"/>
                <w:szCs w:val="28"/>
              </w:rPr>
              <w:t>二、职业面向</w:t>
            </w:r>
          </w:p>
          <w:p>
            <w:pPr>
              <w:pStyle w:val="19"/>
              <w:keepNext w:val="0"/>
              <w:keepLines w:val="0"/>
              <w:pageBreakBefore w:val="0"/>
              <w:widowControl w:val="0"/>
              <w:kinsoku/>
              <w:wordWrap/>
              <w:overflowPunct/>
              <w:topLinePunct w:val="0"/>
              <w:autoSpaceDE/>
              <w:autoSpaceDN/>
              <w:bidi w:val="0"/>
              <w:adjustRightInd w:val="0"/>
              <w:snapToGrid w:val="0"/>
              <w:spacing w:line="560" w:lineRule="exact"/>
              <w:ind w:left="0" w:leftChars="0" w:firstLine="560" w:firstLineChars="200"/>
              <w:jc w:val="left"/>
              <w:textAlignment w:val="auto"/>
              <w:rPr>
                <w:rFonts w:ascii="仿宋" w:hAnsi="仿宋" w:eastAsia="仿宋" w:cs="方正仿宋_GB2312"/>
                <w:sz w:val="28"/>
                <w:szCs w:val="28"/>
              </w:rPr>
            </w:pPr>
            <w:r>
              <w:rPr>
                <w:rFonts w:hint="eastAsia" w:ascii="仿宋" w:hAnsi="仿宋" w:eastAsia="仿宋" w:cs="方正仿宋_GB2312"/>
                <w:sz w:val="28"/>
                <w:szCs w:val="28"/>
              </w:rPr>
              <w:t>学生毕业后在本专业及相关领域经过锻炼，提高专业技能，能够从事科技成果转化，提供中高端服务，具备解决医养照护与管理专业及相关领域复杂问题的能力，成为优良的养老护理员、家政服务员、保健按摩师、健康管理师等中高级管理人才。</w:t>
            </w:r>
          </w:p>
          <w:p>
            <w:pPr>
              <w:keepNext w:val="0"/>
              <w:keepLines w:val="0"/>
              <w:pageBreakBefore w:val="0"/>
              <w:widowControl w:val="0"/>
              <w:kinsoku/>
              <w:wordWrap/>
              <w:overflowPunct/>
              <w:topLinePunct w:val="0"/>
              <w:autoSpaceDE/>
              <w:autoSpaceDN/>
              <w:bidi w:val="0"/>
              <w:snapToGrid w:val="0"/>
              <w:spacing w:line="560" w:lineRule="exact"/>
              <w:ind w:firstLine="560" w:firstLineChars="200"/>
              <w:jc w:val="left"/>
              <w:textAlignment w:val="auto"/>
              <w:rPr>
                <w:rFonts w:ascii="黑体" w:hAnsi="黑体" w:eastAsia="黑体" w:cs="黑体"/>
                <w:sz w:val="28"/>
                <w:szCs w:val="28"/>
              </w:rPr>
            </w:pPr>
            <w:r>
              <w:rPr>
                <w:rFonts w:hint="eastAsia" w:ascii="黑体" w:hAnsi="黑体" w:eastAsia="黑体" w:cs="黑体"/>
                <w:sz w:val="28"/>
                <w:szCs w:val="28"/>
              </w:rPr>
              <w:t>三、课程体系</w:t>
            </w:r>
          </w:p>
          <w:p>
            <w:pPr>
              <w:pStyle w:val="19"/>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ascii="仿宋" w:hAnsi="仿宋" w:eastAsia="仿宋" w:cs="方正仿宋_GB2312"/>
                <w:sz w:val="28"/>
                <w:szCs w:val="28"/>
              </w:rPr>
            </w:pPr>
            <w:r>
              <w:rPr>
                <w:rFonts w:hint="eastAsia" w:ascii="仿宋" w:hAnsi="仿宋" w:eastAsia="仿宋" w:cs="方正仿宋_GB2312"/>
                <w:sz w:val="28"/>
                <w:szCs w:val="28"/>
              </w:rPr>
              <w:t>本专业课程主要包括职业素质教育平台（职业素质公共必修课程模块、职业素质公共选修课程模块）、职业技能教育平台（职业能力专业基础课程模块、职业能力核心课程模块、专业能力拓展选修课程模块、职业技能等级认证模块）、实践教学平台（职业能力实践模块）三大平台和七个模块构成。主干体系为基础医学、基础护理学、家政管理；专业核心课程为《基础照护知识与技能》《老年健康评估》《老年膳食营养》《常见疾病的健康教育》等，专业培养定位重视职业能力培养，稳定开设校院（企）协同育人实训课程。</w:t>
            </w:r>
          </w:p>
          <w:p>
            <w:pPr>
              <w:keepNext w:val="0"/>
              <w:keepLines w:val="0"/>
              <w:pageBreakBefore w:val="0"/>
              <w:widowControl w:val="0"/>
              <w:kinsoku/>
              <w:wordWrap/>
              <w:overflowPunct/>
              <w:topLinePunct w:val="0"/>
              <w:autoSpaceDE/>
              <w:autoSpaceDN/>
              <w:bidi w:val="0"/>
              <w:snapToGrid w:val="0"/>
              <w:spacing w:line="560" w:lineRule="exact"/>
              <w:ind w:firstLine="560" w:firstLineChars="200"/>
              <w:jc w:val="left"/>
              <w:textAlignment w:val="auto"/>
              <w:rPr>
                <w:rFonts w:ascii="黑体" w:hAnsi="黑体" w:eastAsia="黑体" w:cs="黑体"/>
                <w:sz w:val="28"/>
                <w:szCs w:val="28"/>
              </w:rPr>
            </w:pPr>
            <w:r>
              <w:rPr>
                <w:rFonts w:hint="eastAsia" w:ascii="黑体" w:hAnsi="黑体" w:eastAsia="黑体" w:cs="黑体"/>
                <w:sz w:val="28"/>
                <w:szCs w:val="28"/>
              </w:rPr>
              <w:t>四、人才培养模式</w:t>
            </w:r>
          </w:p>
          <w:p>
            <w:pPr>
              <w:keepNext w:val="0"/>
              <w:keepLines w:val="0"/>
              <w:pageBreakBefore w:val="0"/>
              <w:widowControl w:val="0"/>
              <w:kinsoku/>
              <w:wordWrap/>
              <w:overflowPunct/>
              <w:topLinePunct w:val="0"/>
              <w:autoSpaceDE/>
              <w:autoSpaceDN/>
              <w:bidi w:val="0"/>
              <w:snapToGrid w:val="0"/>
              <w:spacing w:line="560" w:lineRule="exact"/>
              <w:ind w:firstLine="560" w:firstLineChars="200"/>
              <w:jc w:val="left"/>
              <w:textAlignment w:val="auto"/>
              <w:rPr>
                <w:rFonts w:ascii="Times New Roman" w:hAnsi="Times New Roman" w:eastAsia="方正仿宋简体" w:cs="Times New Roman"/>
                <w:sz w:val="18"/>
                <w:szCs w:val="18"/>
              </w:rPr>
            </w:pPr>
            <w:r>
              <w:rPr>
                <w:rFonts w:hint="eastAsia" w:ascii="仿宋" w:hAnsi="仿宋" w:eastAsia="仿宋" w:cs="仿宋"/>
                <w:color w:val="000000" w:themeColor="text1"/>
                <w:kern w:val="0"/>
                <w:sz w:val="28"/>
                <w:szCs w:val="28"/>
                <w14:textFill>
                  <w14:solidFill>
                    <w14:schemeClr w14:val="tx1"/>
                  </w14:solidFill>
                </w14:textFill>
              </w:rPr>
              <w:t>实施</w:t>
            </w:r>
            <w:r>
              <w:rPr>
                <w:rFonts w:hint="eastAsia" w:ascii="仿宋" w:hAnsi="仿宋" w:eastAsia="仿宋" w:cs="仿宋"/>
                <w:sz w:val="28"/>
                <w:szCs w:val="28"/>
              </w:rPr>
              <w:t>“双导师+”</w:t>
            </w:r>
            <w:r>
              <w:rPr>
                <w:rFonts w:hint="eastAsia" w:ascii="仿宋" w:hAnsi="仿宋" w:eastAsia="仿宋" w:cs="仿宋"/>
                <w:color w:val="000000" w:themeColor="text1"/>
                <w:kern w:val="0"/>
                <w:sz w:val="28"/>
                <w:szCs w:val="28"/>
                <w14:textFill>
                  <w14:solidFill>
                    <w14:schemeClr w14:val="tx1"/>
                  </w14:solidFill>
                </w14:textFill>
              </w:rPr>
              <w:t>人才培养模式，</w:t>
            </w:r>
            <w:r>
              <w:rPr>
                <w:rFonts w:hint="eastAsia" w:ascii="仿宋" w:hAnsi="仿宋" w:eastAsia="仿宋" w:cs="方正仿宋_GB2312"/>
                <w:sz w:val="28"/>
                <w:szCs w:val="28"/>
              </w:rPr>
              <w:t>遵循技术技能人才成长规律，突出知识与技能的高层次，使毕业生能够从事科技成果、实验成果转化的工作，提供中高端服务。不断加强校院（企）深度融合，拓宽育人途径，强化学生专业技术技能。积极联合校院（企）合作单位开设校外实训课程，采取导师责任制，深入临床带教与岗位认识实习，确保实践教学质量。专业设置课程体系中，实践教学课时占总课时的比例为59.78%，实验实训项目（任务）拟开出率能够达到100%，符合科学规范的专业人才培养方案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66" w:hRule="atLeast"/>
          <w:jc w:val="center"/>
        </w:trPr>
        <w:tc>
          <w:tcPr>
            <w:tcW w:w="888" w:type="dxa"/>
            <w:vAlign w:val="center"/>
          </w:tcPr>
          <w:p>
            <w:pPr>
              <w:snapToGrid w:val="0"/>
              <w:jc w:val="center"/>
              <w:rPr>
                <w:rFonts w:ascii="Times New Roman" w:hAnsi="Times New Roman" w:eastAsia="仿宋_GB2312" w:cs="Times New Roman"/>
                <w:sz w:val="24"/>
                <w:szCs w:val="24"/>
              </w:rPr>
            </w:pPr>
            <w:r>
              <w:rPr>
                <w:rFonts w:hint="eastAsia" w:ascii="仿宋" w:hAnsi="仿宋" w:eastAsia="仿宋" w:cs="仿宋"/>
                <w:sz w:val="24"/>
                <w:szCs w:val="24"/>
              </w:rPr>
              <w:t>办学条件概要</w:t>
            </w:r>
          </w:p>
        </w:tc>
        <w:tc>
          <w:tcPr>
            <w:tcW w:w="7844" w:type="dxa"/>
            <w:gridSpan w:val="4"/>
          </w:tcPr>
          <w:p>
            <w:pPr>
              <w:keepNext w:val="0"/>
              <w:keepLines w:val="0"/>
              <w:pageBreakBefore w:val="0"/>
              <w:widowControl w:val="0"/>
              <w:kinsoku/>
              <w:wordWrap/>
              <w:overflowPunct/>
              <w:topLinePunct w:val="0"/>
              <w:autoSpaceDE/>
              <w:autoSpaceDN/>
              <w:bidi w:val="0"/>
              <w:snapToGrid w:val="0"/>
              <w:spacing w:line="560" w:lineRule="exact"/>
              <w:ind w:firstLine="560" w:firstLineChars="200"/>
              <w:jc w:val="left"/>
              <w:textAlignment w:val="auto"/>
              <w:rPr>
                <w:rFonts w:ascii="黑体" w:hAnsi="黑体" w:eastAsia="黑体" w:cs="黑体"/>
                <w:sz w:val="28"/>
                <w:szCs w:val="28"/>
              </w:rPr>
            </w:pPr>
            <w:r>
              <w:rPr>
                <w:rFonts w:hint="eastAsia" w:ascii="黑体" w:hAnsi="黑体" w:eastAsia="黑体" w:cs="黑体"/>
                <w:sz w:val="28"/>
                <w:szCs w:val="28"/>
              </w:rPr>
              <w:t>一、具备开办专业所需的实习实训场所</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黑体" w:hAnsi="黑体" w:eastAsia="黑体" w:cs="黑体"/>
                <w:sz w:val="28"/>
                <w:szCs w:val="28"/>
              </w:rPr>
            </w:pPr>
            <w:r>
              <w:rPr>
                <w:rFonts w:hint="eastAsia" w:ascii="仿宋" w:hAnsi="仿宋" w:eastAsia="仿宋" w:cs="方正仿宋_GB2312"/>
                <w:sz w:val="28"/>
                <w:szCs w:val="28"/>
              </w:rPr>
              <w:t>学校基础设施齐全，拥有支撑本科层次医养照护与管理专业的办学条件。现已建有医护保健实验实训中心，有传统康复治疗实训室(2间)、组织胚胎学、病理学实验室、康复治疗实训室、中、西医诊断学实训室、康复评定实训室、语言心理治疗实训室等实验实训场所，可同时接纳200名学生进行实验实训，</w:t>
            </w:r>
            <w:r>
              <w:rPr>
                <w:rFonts w:hint="eastAsia" w:ascii="仿宋" w:hAnsi="仿宋" w:eastAsia="仿宋" w:cs="仿宋"/>
                <w:sz w:val="28"/>
                <w:szCs w:val="28"/>
              </w:rPr>
              <w:t>生均仪器设备值为1.66万元，</w:t>
            </w:r>
            <w:r>
              <w:rPr>
                <w:rFonts w:hint="eastAsia" w:ascii="仿宋" w:hAnsi="仿宋" w:eastAsia="仿宋" w:cs="方正仿宋_GB2312"/>
                <w:sz w:val="28"/>
                <w:szCs w:val="28"/>
              </w:rPr>
              <w:t>生均教学科研仪器设备值符合本科层次职业教育专业设置要求</w:t>
            </w:r>
            <w:r>
              <w:rPr>
                <w:rFonts w:hint="eastAsia" w:ascii="仿宋" w:hAnsi="仿宋" w:eastAsia="仿宋" w:cs="仿宋"/>
                <w:sz w:val="28"/>
                <w:szCs w:val="28"/>
              </w:rPr>
              <w:t>。</w:t>
            </w:r>
            <w:r>
              <w:rPr>
                <w:rFonts w:hint="eastAsia" w:ascii="仿宋" w:hAnsi="仿宋" w:eastAsia="仿宋" w:cs="方正仿宋_GB2312"/>
                <w:sz w:val="28"/>
                <w:szCs w:val="28"/>
              </w:rPr>
              <w:t>实训基地配备有智能化心肺检查和腹部检查教学系统、高级大屏幕液晶彩显全自动电脑心肺复苏模拟人、多功能护理床、人体成分分析仪、电动站立轮椅、电动直立床、心理测试软件等设备为学生提供实训保障。</w:t>
            </w:r>
            <w:r>
              <w:rPr>
                <w:rFonts w:hint="eastAsia" w:ascii="仿宋" w:hAnsi="仿宋" w:eastAsia="仿宋" w:cs="仿宋"/>
                <w:sz w:val="28"/>
                <w:szCs w:val="28"/>
              </w:rPr>
              <w:t>同时，5G网络全面覆盖所有教室和实训室，能完全满足进行专业课程的线上线下教学与实训要求。</w:t>
            </w:r>
          </w:p>
          <w:p>
            <w:pPr>
              <w:keepNext w:val="0"/>
              <w:keepLines w:val="0"/>
              <w:pageBreakBefore w:val="0"/>
              <w:widowControl w:val="0"/>
              <w:kinsoku/>
              <w:wordWrap/>
              <w:overflowPunct/>
              <w:topLinePunct w:val="0"/>
              <w:autoSpaceDE/>
              <w:autoSpaceDN/>
              <w:bidi w:val="0"/>
              <w:snapToGrid w:val="0"/>
              <w:spacing w:line="560" w:lineRule="exact"/>
              <w:ind w:firstLine="560" w:firstLineChars="200"/>
              <w:jc w:val="left"/>
              <w:textAlignment w:val="auto"/>
              <w:rPr>
                <w:rFonts w:ascii="黑体" w:hAnsi="黑体" w:eastAsia="黑体" w:cs="黑体"/>
                <w:sz w:val="28"/>
                <w:szCs w:val="28"/>
              </w:rPr>
            </w:pPr>
            <w:r>
              <w:rPr>
                <w:rFonts w:hint="eastAsia" w:ascii="黑体" w:hAnsi="黑体" w:eastAsia="黑体" w:cs="黑体"/>
                <w:sz w:val="28"/>
                <w:szCs w:val="28"/>
              </w:rPr>
              <w:t>二、积极推进产教融合，建立稳定校院（企）合作关系</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cs="方正仿宋_GB2312"/>
                <w:sz w:val="28"/>
                <w:szCs w:val="28"/>
              </w:rPr>
            </w:pPr>
            <w:r>
              <w:rPr>
                <w:rFonts w:hint="eastAsia" w:ascii="仿宋" w:hAnsi="仿宋" w:eastAsia="仿宋" w:cs="方正仿宋_GB2312"/>
                <w:sz w:val="28"/>
                <w:szCs w:val="28"/>
              </w:rPr>
              <w:t>拟开设专业依托医养照护与管理</w:t>
            </w:r>
            <w:r>
              <w:rPr>
                <w:rFonts w:hint="eastAsia" w:ascii="仿宋" w:hAnsi="仿宋" w:eastAsia="仿宋" w:cs="方正仿宋_GB2312"/>
                <w:sz w:val="28"/>
                <w:szCs w:val="28"/>
                <w:lang w:val="en-US" w:eastAsia="zh-CN"/>
              </w:rPr>
              <w:t>和</w:t>
            </w:r>
            <w:r>
              <w:rPr>
                <w:rFonts w:hint="eastAsia" w:ascii="仿宋" w:hAnsi="仿宋" w:eastAsia="仿宋" w:cs="方正仿宋_GB2312"/>
                <w:sz w:val="28"/>
                <w:szCs w:val="28"/>
              </w:rPr>
              <w:t>智慧健康养老服务与管理专业，已与广西重阳老年公寓、崇左市人民医院、扶绥县人民医院等8家机构建立了校院（企）合作关系，选送学生到校院（企）合作单位开展实践教学、技能竞赛项目训练等。不断深化产教融合、校院（企）合作，进一步完善校院（企）合作育人机制，创新技术技能人才培养模式，促进学历证书与职业技能等级证书有效衔接。</w:t>
            </w:r>
          </w:p>
          <w:p>
            <w:pPr>
              <w:keepNext w:val="0"/>
              <w:keepLines w:val="0"/>
              <w:pageBreakBefore w:val="0"/>
              <w:widowControl w:val="0"/>
              <w:kinsoku/>
              <w:wordWrap/>
              <w:overflowPunct/>
              <w:topLinePunct w:val="0"/>
              <w:autoSpaceDE/>
              <w:autoSpaceDN/>
              <w:bidi w:val="0"/>
              <w:snapToGrid w:val="0"/>
              <w:spacing w:line="560" w:lineRule="exact"/>
              <w:ind w:firstLine="560" w:firstLineChars="200"/>
              <w:jc w:val="left"/>
              <w:textAlignment w:val="auto"/>
              <w:rPr>
                <w:rFonts w:ascii="黑体" w:hAnsi="黑体" w:eastAsia="黑体" w:cs="黑体"/>
                <w:sz w:val="28"/>
                <w:szCs w:val="28"/>
              </w:rPr>
            </w:pPr>
            <w:r>
              <w:rPr>
                <w:rFonts w:hint="eastAsia" w:ascii="黑体" w:hAnsi="黑体" w:eastAsia="黑体" w:cs="黑体"/>
                <w:sz w:val="28"/>
                <w:szCs w:val="28"/>
              </w:rPr>
              <w:t>三、稳定增长，专业发展可保障</w:t>
            </w:r>
          </w:p>
          <w:p>
            <w:pPr>
              <w:keepNext w:val="0"/>
              <w:keepLines w:val="0"/>
              <w:pageBreakBefore w:val="0"/>
              <w:widowControl w:val="0"/>
              <w:kinsoku/>
              <w:wordWrap/>
              <w:overflowPunct/>
              <w:topLinePunct w:val="0"/>
              <w:autoSpaceDE/>
              <w:autoSpaceDN/>
              <w:bidi w:val="0"/>
              <w:snapToGrid w:val="0"/>
              <w:spacing w:line="560" w:lineRule="exact"/>
              <w:ind w:firstLine="560" w:firstLineChars="200"/>
              <w:jc w:val="left"/>
              <w:textAlignment w:val="auto"/>
              <w:rPr>
                <w:rFonts w:ascii="Times New Roman" w:hAnsi="Times New Roman" w:eastAsia="方正仿宋简体" w:cs="Times New Roman"/>
                <w:sz w:val="18"/>
                <w:szCs w:val="18"/>
              </w:rPr>
            </w:pPr>
            <w:r>
              <w:rPr>
                <w:rFonts w:hint="eastAsia" w:ascii="仿宋" w:hAnsi="仿宋" w:eastAsia="仿宋" w:cs="方正仿宋_GB2312"/>
                <w:sz w:val="28"/>
                <w:szCs w:val="28"/>
              </w:rPr>
              <w:t>学校高度重视专业建设，经费逐年投入，计划未来三年增加投入专业建设经费300万元。</w:t>
            </w:r>
          </w:p>
          <w:p>
            <w:pPr>
              <w:snapToGrid w:val="0"/>
              <w:jc w:val="left"/>
              <w:rPr>
                <w:rFonts w:ascii="Times New Roman" w:hAnsi="Times New Roman" w:eastAsia="方正仿宋简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75" w:hRule="atLeast"/>
          <w:jc w:val="center"/>
        </w:trPr>
        <w:tc>
          <w:tcPr>
            <w:tcW w:w="888" w:type="dxa"/>
            <w:vAlign w:val="center"/>
          </w:tcPr>
          <w:p>
            <w:pPr>
              <w:snapToGrid w:val="0"/>
              <w:jc w:val="center"/>
              <w:rPr>
                <w:rFonts w:ascii="Times New Roman" w:hAnsi="Times New Roman" w:eastAsia="仿宋_GB2312" w:cs="Times New Roman"/>
                <w:sz w:val="24"/>
                <w:szCs w:val="24"/>
              </w:rPr>
            </w:pPr>
            <w:r>
              <w:rPr>
                <w:rFonts w:hint="eastAsia" w:ascii="仿宋" w:hAnsi="仿宋" w:eastAsia="仿宋" w:cs="仿宋"/>
                <w:sz w:val="24"/>
                <w:szCs w:val="24"/>
              </w:rPr>
              <w:t>技术研发与社会服务基础概要</w:t>
            </w:r>
          </w:p>
        </w:tc>
        <w:tc>
          <w:tcPr>
            <w:tcW w:w="7844" w:type="dxa"/>
            <w:gridSpan w:val="4"/>
          </w:tcPr>
          <w:p>
            <w:pPr>
              <w:keepNext w:val="0"/>
              <w:keepLines w:val="0"/>
              <w:pageBreakBefore w:val="0"/>
              <w:widowControl w:val="0"/>
              <w:kinsoku/>
              <w:wordWrap/>
              <w:overflowPunct/>
              <w:topLinePunct w:val="0"/>
              <w:autoSpaceDE/>
              <w:autoSpaceDN/>
              <w:bidi w:val="0"/>
              <w:snapToGrid w:val="0"/>
              <w:spacing w:line="560" w:lineRule="exact"/>
              <w:ind w:firstLine="560" w:firstLineChars="200"/>
              <w:jc w:val="left"/>
              <w:textAlignment w:val="auto"/>
              <w:rPr>
                <w:rFonts w:ascii="黑体" w:hAnsi="黑体" w:eastAsia="黑体" w:cs="黑体"/>
                <w:color w:val="000000"/>
                <w:sz w:val="28"/>
                <w:szCs w:val="28"/>
              </w:rPr>
            </w:pPr>
            <w:r>
              <w:rPr>
                <w:rFonts w:hint="eastAsia" w:ascii="黑体" w:hAnsi="黑体" w:eastAsia="黑体" w:cs="黑体"/>
                <w:color w:val="000000"/>
                <w:sz w:val="28"/>
                <w:szCs w:val="28"/>
              </w:rPr>
              <w:t>一、技术研发推广平台及科研成果</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cs="方正仿宋_GB2312"/>
                <w:color w:val="000000"/>
                <w:sz w:val="28"/>
                <w:szCs w:val="28"/>
              </w:rPr>
            </w:pPr>
            <w:r>
              <w:rPr>
                <w:rFonts w:hint="eastAsia" w:ascii="仿宋" w:hAnsi="仿宋" w:eastAsia="仿宋" w:cs="方正仿宋_GB2312"/>
                <w:color w:val="000000"/>
                <w:sz w:val="28"/>
                <w:szCs w:val="28"/>
              </w:rPr>
              <w:t>本专业已建成医护保健实验实训中心，能够满足教师和学生的科学研究及日常的实验实训。未来将通过整合现有资源建成与医养照护相结合、集教学与科研于一体的实训中心。拟定新增建设运动治疗实训室、老年康复实训室、老年照护实训室、养生体验馆、母婴照护实训室和综合实训室等不同功能区的医养结合实训室，进一步加强实验实训教学条件建设，不断提高教学质量。同时，与兄弟院校或相关行业企业共同打造科学研究中心和技术技能大师工作室。努力打造既能满足教学、实验、实训、科研相关要求，又能提升学生社会实践技能，凸显职业本科的优势。近年，依托校内外实验实训平台，教学团队教师陆续完成了市厅级项目2项，校级项目4项；发表论文15余篇。</w:t>
            </w:r>
          </w:p>
          <w:p>
            <w:pPr>
              <w:keepNext w:val="0"/>
              <w:keepLines w:val="0"/>
              <w:pageBreakBefore w:val="0"/>
              <w:widowControl w:val="0"/>
              <w:kinsoku/>
              <w:wordWrap/>
              <w:overflowPunct/>
              <w:topLinePunct w:val="0"/>
              <w:autoSpaceDE/>
              <w:autoSpaceDN/>
              <w:bidi w:val="0"/>
              <w:snapToGrid w:val="0"/>
              <w:spacing w:line="560" w:lineRule="exact"/>
              <w:ind w:firstLine="560" w:firstLineChars="200"/>
              <w:jc w:val="left"/>
              <w:textAlignment w:val="auto"/>
              <w:rPr>
                <w:rFonts w:ascii="黑体" w:hAnsi="黑体" w:eastAsia="黑体" w:cs="黑体"/>
                <w:color w:val="000000"/>
                <w:sz w:val="28"/>
                <w:szCs w:val="28"/>
              </w:rPr>
            </w:pPr>
            <w:r>
              <w:rPr>
                <w:rFonts w:hint="eastAsia" w:ascii="黑体" w:hAnsi="黑体" w:eastAsia="黑体" w:cs="黑体"/>
                <w:color w:val="000000"/>
                <w:sz w:val="28"/>
                <w:szCs w:val="28"/>
              </w:rPr>
              <w:t>二、社会服务情况</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仿宋" w:hAnsi="仿宋" w:eastAsia="仿宋" w:cs="方正仿宋_GB2312"/>
                <w:color w:val="000000"/>
                <w:sz w:val="28"/>
                <w:szCs w:val="28"/>
              </w:rPr>
            </w:pPr>
            <w:r>
              <w:rPr>
                <w:rFonts w:ascii="仿宋" w:hAnsi="仿宋" w:eastAsia="仿宋" w:cs="方正仿宋_GB2312"/>
                <w:color w:val="000000"/>
                <w:sz w:val="28"/>
                <w:szCs w:val="28"/>
              </w:rPr>
              <w:t>本着立足地方、扎根地方、服务地方的理念，主动适应广西经济发展和产业转型方向，不断提高精准度和有效性，在服务经济社会发展中体现价值。深化职业教育改革，提升职业教育质量，深入推进产教融合、校院（企）合作，推动教师、教材、教法改革，促进本专业办出特色、办出水平，加快培养大批高素质劳动者和技术技能人才，为广西经济社会高质量发展做出更大贡献。与崇左市人民医院、广西桂盛合中药制药有限公司等签订校院</w:t>
            </w:r>
            <w:r>
              <w:rPr>
                <w:rFonts w:hint="eastAsia" w:ascii="仿宋" w:hAnsi="仿宋" w:eastAsia="仿宋" w:cs="方正仿宋_GB2312"/>
                <w:color w:val="000000"/>
                <w:sz w:val="28"/>
                <w:szCs w:val="28"/>
              </w:rPr>
              <w:t>（企）</w:t>
            </w:r>
            <w:r>
              <w:rPr>
                <w:rFonts w:ascii="仿宋" w:hAnsi="仿宋" w:eastAsia="仿宋" w:cs="方正仿宋_GB2312"/>
                <w:color w:val="000000"/>
                <w:sz w:val="28"/>
                <w:szCs w:val="28"/>
              </w:rPr>
              <w:t>合作并进行深度交流和学习，服务地方经济。近年来，学校积极利用教学设备和师资力量优势，加强与企业共同开展科研和社会服务，初步实现了为当地产业发展提供人才支持，大大提升了学校的社会认可度，在一定程度上提升了地方经济效益和社会效益。社会服务类</w:t>
            </w:r>
            <w:r>
              <w:rPr>
                <w:rFonts w:hint="eastAsia" w:ascii="仿宋" w:hAnsi="仿宋" w:eastAsia="仿宋" w:cs="方正仿宋_GB2312"/>
                <w:color w:val="000000"/>
                <w:sz w:val="28"/>
                <w:szCs w:val="28"/>
                <w:lang w:val="en-US" w:eastAsia="zh-CN"/>
              </w:rPr>
              <w:t>3</w:t>
            </w:r>
            <w:r>
              <w:rPr>
                <w:rFonts w:ascii="仿宋" w:hAnsi="仿宋" w:eastAsia="仿宋" w:cs="方正仿宋_GB2312"/>
                <w:color w:val="000000"/>
                <w:sz w:val="28"/>
                <w:szCs w:val="28"/>
              </w:rPr>
              <w:t>项，分别是：</w:t>
            </w:r>
            <w:r>
              <w:rPr>
                <w:rFonts w:hint="eastAsia" w:ascii="仿宋" w:hAnsi="仿宋" w:eastAsia="仿宋" w:cs="方正仿宋_GB2312"/>
                <w:color w:val="000000"/>
                <w:sz w:val="28"/>
                <w:szCs w:val="28"/>
              </w:rPr>
              <w:t>民生服务进基层--健康咨询及义诊服务活动</w:t>
            </w:r>
            <w:r>
              <w:rPr>
                <w:rFonts w:ascii="仿宋" w:hAnsi="仿宋" w:eastAsia="仿宋" w:cs="方正仿宋_GB2312"/>
                <w:color w:val="000000"/>
                <w:sz w:val="28"/>
                <w:szCs w:val="28"/>
              </w:rPr>
              <w:t>、</w:t>
            </w:r>
            <w:r>
              <w:rPr>
                <w:rFonts w:hint="eastAsia" w:ascii="仿宋" w:hAnsi="仿宋" w:eastAsia="仿宋" w:cs="方正仿宋_GB2312"/>
                <w:color w:val="000000"/>
                <w:sz w:val="28"/>
                <w:szCs w:val="28"/>
              </w:rPr>
              <w:t>中医四季养生知识与应用专项培训、“亚健康-失眠病症人群的自我调理”宣讲</w:t>
            </w:r>
            <w:r>
              <w:rPr>
                <w:rFonts w:ascii="仿宋" w:hAnsi="仿宋" w:eastAsia="仿宋" w:cs="方正仿宋_GB2312"/>
                <w:color w:val="000000"/>
                <w:sz w:val="28"/>
                <w:szCs w:val="28"/>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textAlignment w:val="auto"/>
              <w:rPr>
                <w:rFonts w:ascii="黑体" w:hAnsi="黑体" w:eastAsia="黑体" w:cs="黑体"/>
                <w:color w:val="000000"/>
                <w:sz w:val="28"/>
                <w:szCs w:val="28"/>
              </w:rPr>
            </w:pPr>
            <w:r>
              <w:rPr>
                <w:rFonts w:hint="eastAsia" w:ascii="黑体" w:hAnsi="黑体" w:eastAsia="黑体" w:cs="黑体"/>
                <w:color w:val="000000"/>
                <w:sz w:val="28"/>
                <w:szCs w:val="28"/>
              </w:rPr>
              <w:t>三、职业培训</w:t>
            </w:r>
          </w:p>
          <w:p>
            <w:pPr>
              <w:keepNext w:val="0"/>
              <w:keepLines w:val="0"/>
              <w:pageBreakBefore w:val="0"/>
              <w:widowControl w:val="0"/>
              <w:kinsoku/>
              <w:wordWrap/>
              <w:overflowPunct/>
              <w:topLinePunct w:val="0"/>
              <w:autoSpaceDE/>
              <w:autoSpaceDN/>
              <w:bidi w:val="0"/>
              <w:spacing w:line="560" w:lineRule="exact"/>
              <w:ind w:firstLine="560" w:firstLineChars="200"/>
              <w:textAlignment w:val="auto"/>
              <w:rPr>
                <w:rFonts w:ascii="仿宋" w:hAnsi="仿宋" w:eastAsia="仿宋" w:cs="仿宋"/>
                <w:color w:val="000000"/>
                <w:sz w:val="28"/>
                <w:szCs w:val="28"/>
              </w:rPr>
            </w:pPr>
            <w:r>
              <w:rPr>
                <w:rFonts w:hint="eastAsia" w:ascii="仿宋" w:hAnsi="仿宋" w:eastAsia="仿宋" w:cs="仿宋"/>
                <w:color w:val="000000"/>
                <w:sz w:val="28"/>
                <w:szCs w:val="28"/>
              </w:rPr>
              <w:t>我校积极组织开展社会服务活动，通过职业技能活动周、社区讲座等方式，面向行业企业和社会开展职业技能培训，主要包括医养知识、急救知识等内容，</w:t>
            </w:r>
            <w:r>
              <w:rPr>
                <w:rFonts w:hint="eastAsia" w:ascii="仿宋" w:hAnsi="仿宋" w:eastAsia="仿宋" w:cs="方正仿宋_GB2312"/>
                <w:color w:val="000000"/>
                <w:sz w:val="28"/>
                <w:szCs w:val="28"/>
              </w:rPr>
              <w:t>2023年职业培训</w:t>
            </w:r>
            <w:r>
              <w:rPr>
                <w:rFonts w:hint="eastAsia" w:ascii="仿宋" w:hAnsi="仿宋" w:eastAsia="仿宋" w:cs="方正仿宋_GB2312"/>
                <w:color w:val="000000"/>
                <w:sz w:val="28"/>
                <w:szCs w:val="28"/>
                <w:lang w:val="en-US" w:eastAsia="zh-CN"/>
              </w:rPr>
              <w:t>165</w:t>
            </w:r>
            <w:r>
              <w:rPr>
                <w:rFonts w:hint="eastAsia" w:ascii="仿宋" w:hAnsi="仿宋" w:eastAsia="仿宋" w:cs="方正仿宋_GB2312"/>
                <w:color w:val="000000"/>
                <w:sz w:val="28"/>
                <w:szCs w:val="28"/>
              </w:rPr>
              <w:t>人次，是依托专业在校学生人数的2.</w:t>
            </w:r>
            <w:r>
              <w:rPr>
                <w:rFonts w:hint="eastAsia" w:ascii="仿宋" w:hAnsi="仿宋" w:eastAsia="仿宋" w:cs="方正仿宋_GB2312"/>
                <w:color w:val="000000"/>
                <w:sz w:val="28"/>
                <w:szCs w:val="28"/>
                <w:lang w:val="en-US" w:eastAsia="zh-CN"/>
              </w:rPr>
              <w:t>54</w:t>
            </w:r>
            <w:r>
              <w:rPr>
                <w:rFonts w:hint="eastAsia" w:ascii="仿宋" w:hAnsi="仿宋" w:eastAsia="仿宋" w:cs="方正仿宋_GB2312"/>
                <w:color w:val="000000"/>
                <w:sz w:val="28"/>
                <w:szCs w:val="28"/>
              </w:rPr>
              <w:t>倍</w:t>
            </w:r>
            <w:r>
              <w:rPr>
                <w:rFonts w:hint="eastAsia" w:ascii="仿宋" w:hAnsi="仿宋" w:eastAsia="仿宋" w:cs="仿宋"/>
                <w:color w:val="000000"/>
                <w:sz w:val="28"/>
                <w:szCs w:val="28"/>
              </w:rPr>
              <w:t>，效果良好，得到了行业企业和社会大众的一致认可。</w:t>
            </w:r>
          </w:p>
          <w:p>
            <w:pPr>
              <w:snapToGrid w:val="0"/>
              <w:jc w:val="left"/>
              <w:rPr>
                <w:rFonts w:ascii="Times New Roman" w:hAnsi="Times New Roman" w:eastAsia="方正仿宋简体" w:cs="Times New Roman"/>
                <w:sz w:val="18"/>
                <w:szCs w:val="18"/>
              </w:rPr>
            </w:pPr>
          </w:p>
          <w:p>
            <w:pPr>
              <w:snapToGrid w:val="0"/>
              <w:jc w:val="left"/>
              <w:rPr>
                <w:rFonts w:ascii="Times New Roman" w:hAnsi="Times New Roman" w:eastAsia="方正仿宋简体" w:cs="Times New Roman"/>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921" w:hRule="atLeast"/>
          <w:jc w:val="center"/>
        </w:trPr>
        <w:tc>
          <w:tcPr>
            <w:tcW w:w="888" w:type="dxa"/>
            <w:vAlign w:val="center"/>
          </w:tcPr>
          <w:p>
            <w:pPr>
              <w:snapToGrid w:val="0"/>
              <w:jc w:val="center"/>
              <w:rPr>
                <w:rFonts w:ascii="Times New Roman" w:hAnsi="Times New Roman" w:eastAsia="仿宋_GB2312" w:cs="Times New Roman"/>
                <w:sz w:val="24"/>
                <w:szCs w:val="24"/>
              </w:rPr>
            </w:pPr>
            <w:r>
              <w:rPr>
                <w:rFonts w:hint="eastAsia" w:ascii="仿宋" w:hAnsi="仿宋" w:eastAsia="仿宋" w:cs="仿宋"/>
                <w:sz w:val="24"/>
                <w:szCs w:val="24"/>
              </w:rPr>
              <w:t>专家组评议意见</w:t>
            </w:r>
          </w:p>
        </w:tc>
        <w:tc>
          <w:tcPr>
            <w:tcW w:w="7844" w:type="dxa"/>
            <w:gridSpan w:val="4"/>
            <w:vAlign w:val="bottom"/>
          </w:tcPr>
          <w:p>
            <w:pPr>
              <w:snapToGrid w:val="0"/>
              <w:jc w:val="left"/>
              <w:rPr>
                <w:rFonts w:ascii="Times New Roman" w:hAnsi="Times New Roman" w:eastAsia="仿宋_GB2312" w:cs="Times New Roman"/>
                <w:sz w:val="18"/>
                <w:szCs w:val="18"/>
              </w:rPr>
            </w:pPr>
          </w:p>
          <w:p>
            <w:pPr>
              <w:pStyle w:val="2"/>
              <w:rPr>
                <w:rFonts w:ascii="Times New Roman" w:hAnsi="Times New Roman" w:eastAsia="仿宋_GB2312" w:cs="Times New Roman"/>
                <w:sz w:val="18"/>
                <w:szCs w:val="18"/>
              </w:rPr>
            </w:pPr>
          </w:p>
          <w:p>
            <w:pPr>
              <w:pStyle w:val="3"/>
              <w:rPr>
                <w:rFonts w:ascii="Times New Roman" w:hAnsi="Times New Roman" w:eastAsia="仿宋_GB2312" w:cs="Times New Roman"/>
                <w:sz w:val="18"/>
                <w:szCs w:val="18"/>
              </w:rPr>
            </w:pPr>
          </w:p>
          <w:p>
            <w:pPr>
              <w:pStyle w:val="4"/>
              <w:rPr>
                <w:rFonts w:ascii="Times New Roman" w:hAnsi="Times New Roman" w:eastAsia="仿宋_GB2312" w:cs="Times New Roman"/>
                <w:sz w:val="18"/>
                <w:szCs w:val="18"/>
              </w:rPr>
            </w:pPr>
          </w:p>
          <w:p>
            <w:pPr>
              <w:pStyle w:val="6"/>
              <w:rPr>
                <w:rFonts w:ascii="Times New Roman" w:hAnsi="Times New Roman" w:eastAsia="仿宋_GB2312" w:cs="Times New Roman"/>
                <w:sz w:val="18"/>
                <w:szCs w:val="18"/>
              </w:rPr>
            </w:pPr>
          </w:p>
          <w:p>
            <w:pPr>
              <w:rPr>
                <w:rFonts w:ascii="Times New Roman" w:hAnsi="Times New Roman" w:eastAsia="仿宋_GB2312" w:cs="Times New Roman"/>
                <w:sz w:val="18"/>
                <w:szCs w:val="18"/>
              </w:rPr>
            </w:pPr>
          </w:p>
          <w:p>
            <w:pPr>
              <w:pStyle w:val="2"/>
              <w:rPr>
                <w:rFonts w:ascii="Times New Roman" w:hAnsi="Times New Roman" w:eastAsia="仿宋_GB2312" w:cs="Times New Roman"/>
                <w:sz w:val="18"/>
                <w:szCs w:val="18"/>
              </w:rPr>
            </w:pPr>
          </w:p>
          <w:p>
            <w:pPr>
              <w:pStyle w:val="3"/>
              <w:rPr>
                <w:rFonts w:ascii="Times New Roman" w:hAnsi="Times New Roman" w:eastAsia="仿宋_GB2312" w:cs="Times New Roman"/>
                <w:sz w:val="18"/>
                <w:szCs w:val="18"/>
              </w:rPr>
            </w:pPr>
          </w:p>
          <w:p>
            <w:pPr>
              <w:pStyle w:val="4"/>
            </w:pPr>
          </w:p>
          <w:p>
            <w:pPr>
              <w:pStyle w:val="4"/>
              <w:ind w:left="0" w:leftChars="0" w:firstLine="0" w:firstLineChars="0"/>
            </w:pPr>
          </w:p>
          <w:p>
            <w:pPr>
              <w:pStyle w:val="16"/>
              <w:jc w:val="both"/>
            </w:pPr>
          </w:p>
          <w:p>
            <w:pPr>
              <w:snapToGrid w:val="0"/>
              <w:jc w:val="left"/>
              <w:rPr>
                <w:rFonts w:ascii="仿宋" w:hAnsi="仿宋" w:eastAsia="仿宋" w:cs="仿宋"/>
                <w:sz w:val="28"/>
                <w:szCs w:val="28"/>
                <w:lang w:bidi="ar"/>
              </w:rPr>
            </w:pPr>
            <w:r>
              <w:rPr>
                <w:rFonts w:ascii="Times New Roman" w:hAnsi="Times New Roman" w:eastAsia="仿宋_GB2312" w:cs="Times New Roman"/>
                <w:sz w:val="24"/>
                <w:szCs w:val="24"/>
                <w:lang w:bidi="ar"/>
              </w:rPr>
              <w:tab/>
            </w:r>
            <w:r>
              <w:rPr>
                <w:rFonts w:hint="eastAsia" w:ascii="Times New Roman" w:hAnsi="Times New Roman" w:eastAsia="仿宋_GB2312" w:cs="Times New Roman"/>
                <w:sz w:val="24"/>
                <w:szCs w:val="24"/>
                <w:lang w:bidi="ar"/>
              </w:rPr>
              <w:t xml:space="preserve">                          </w:t>
            </w:r>
            <w:r>
              <w:rPr>
                <w:rFonts w:hint="eastAsia" w:ascii="仿宋" w:hAnsi="仿宋" w:eastAsia="仿宋" w:cs="仿宋"/>
                <w:sz w:val="28"/>
                <w:szCs w:val="28"/>
                <w:lang w:bidi="ar"/>
              </w:rPr>
              <w:t>专家组长签字：</w:t>
            </w:r>
          </w:p>
          <w:p>
            <w:pPr>
              <w:snapToGrid w:val="0"/>
              <w:jc w:val="left"/>
              <w:rPr>
                <w:rFonts w:ascii="Times New Roman" w:hAnsi="Times New Roman" w:eastAsia="仿宋_GB2312" w:cs="Times New Roman"/>
                <w:sz w:val="24"/>
                <w:szCs w:val="24"/>
                <w:lang w:bidi="ar"/>
              </w:rPr>
            </w:pPr>
            <w:r>
              <w:rPr>
                <w:rFonts w:ascii="Times New Roman" w:hAnsi="Times New Roman" w:eastAsia="仿宋_GB2312" w:cs="Times New Roman"/>
                <w:sz w:val="24"/>
                <w:szCs w:val="24"/>
                <w:lang w:bidi="ar"/>
              </w:rPr>
              <w:t xml:space="preserve">                                   </w:t>
            </w:r>
          </w:p>
          <w:p>
            <w:pPr>
              <w:pStyle w:val="16"/>
              <w:jc w:val="both"/>
            </w:pPr>
          </w:p>
          <w:p>
            <w:pPr>
              <w:snapToGrid w:val="0"/>
              <w:jc w:val="right"/>
              <w:rPr>
                <w:rFonts w:ascii="Times New Roman" w:hAnsi="Times New Roman" w:eastAsia="仿宋_GB2312" w:cs="Times New Roman"/>
                <w:sz w:val="18"/>
                <w:szCs w:val="18"/>
                <w:lang w:bidi="ar"/>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279" w:hRule="atLeast"/>
          <w:jc w:val="center"/>
        </w:trPr>
        <w:tc>
          <w:tcPr>
            <w:tcW w:w="888" w:type="dxa"/>
            <w:vAlign w:val="center"/>
          </w:tcPr>
          <w:p>
            <w:pPr>
              <w:snapToGrid w:val="0"/>
              <w:jc w:val="center"/>
              <w:rPr>
                <w:rFonts w:ascii="Times New Roman" w:hAnsi="Times New Roman" w:eastAsia="方正仿宋简体" w:cs="Times New Roman"/>
                <w:sz w:val="24"/>
                <w:szCs w:val="24"/>
              </w:rPr>
            </w:pPr>
            <w:r>
              <w:rPr>
                <w:rFonts w:hint="eastAsia" w:ascii="仿宋" w:hAnsi="仿宋" w:eastAsia="仿宋" w:cs="仿宋"/>
                <w:sz w:val="24"/>
                <w:szCs w:val="24"/>
              </w:rPr>
              <w:t>省级教育行政部门复核意见</w:t>
            </w:r>
          </w:p>
        </w:tc>
        <w:tc>
          <w:tcPr>
            <w:tcW w:w="7844" w:type="dxa"/>
            <w:gridSpan w:val="4"/>
            <w:vAlign w:val="bottom"/>
          </w:tcPr>
          <w:p>
            <w:pPr>
              <w:snapToGrid w:val="0"/>
              <w:jc w:val="right"/>
              <w:rPr>
                <w:rFonts w:ascii="Times New Roman" w:hAnsi="Times New Roman" w:eastAsia="方正仿宋简体" w:cs="Times New Roman"/>
                <w:sz w:val="18"/>
                <w:szCs w:val="18"/>
                <w:lang w:bidi="ar"/>
              </w:rPr>
            </w:pPr>
          </w:p>
          <w:p>
            <w:pPr>
              <w:wordWrap w:val="0"/>
              <w:snapToGrid w:val="0"/>
              <w:jc w:val="right"/>
              <w:rPr>
                <w:rFonts w:ascii="Times New Roman" w:hAnsi="Times New Roman" w:eastAsia="方正仿宋简体" w:cs="Times New Roman"/>
                <w:sz w:val="18"/>
                <w:szCs w:val="18"/>
                <w:lang w:bidi="ar"/>
              </w:rPr>
            </w:pPr>
          </w:p>
          <w:p>
            <w:pPr>
              <w:wordWrap w:val="0"/>
              <w:snapToGrid w:val="0"/>
              <w:jc w:val="right"/>
              <w:rPr>
                <w:rFonts w:ascii="Times New Roman" w:hAnsi="Times New Roman" w:eastAsia="仿宋_GB2312" w:cs="Times New Roman"/>
                <w:sz w:val="20"/>
                <w:szCs w:val="20"/>
                <w:lang w:bidi="ar"/>
              </w:rPr>
            </w:pPr>
          </w:p>
          <w:p>
            <w:pPr>
              <w:wordWrap w:val="0"/>
              <w:snapToGrid w:val="0"/>
              <w:jc w:val="right"/>
              <w:rPr>
                <w:rFonts w:ascii="Times New Roman" w:hAnsi="Times New Roman" w:eastAsia="仿宋_GB2312" w:cs="Times New Roman"/>
                <w:sz w:val="20"/>
                <w:szCs w:val="20"/>
                <w:lang w:bidi="ar"/>
              </w:rPr>
            </w:pPr>
          </w:p>
          <w:p>
            <w:pPr>
              <w:wordWrap w:val="0"/>
              <w:snapToGrid w:val="0"/>
              <w:jc w:val="right"/>
              <w:rPr>
                <w:rFonts w:ascii="Times New Roman" w:hAnsi="Times New Roman" w:eastAsia="仿宋_GB2312" w:cs="Times New Roman"/>
                <w:sz w:val="20"/>
                <w:szCs w:val="20"/>
                <w:lang w:bidi="ar"/>
              </w:rPr>
            </w:pPr>
          </w:p>
          <w:p>
            <w:pPr>
              <w:wordWrap w:val="0"/>
              <w:snapToGrid w:val="0"/>
              <w:jc w:val="right"/>
              <w:rPr>
                <w:rFonts w:ascii="Times New Roman" w:hAnsi="Times New Roman" w:eastAsia="仿宋_GB2312" w:cs="Times New Roman"/>
                <w:sz w:val="28"/>
                <w:szCs w:val="28"/>
                <w:lang w:bidi="ar"/>
              </w:rPr>
            </w:pPr>
          </w:p>
          <w:p>
            <w:pPr>
              <w:wordWrap w:val="0"/>
              <w:snapToGrid w:val="0"/>
              <w:jc w:val="right"/>
              <w:rPr>
                <w:rFonts w:ascii="仿宋" w:hAnsi="仿宋" w:eastAsia="仿宋" w:cs="仿宋"/>
                <w:sz w:val="28"/>
                <w:szCs w:val="28"/>
              </w:rPr>
            </w:pPr>
            <w:r>
              <w:rPr>
                <w:rFonts w:ascii="Times New Roman" w:hAnsi="Times New Roman" w:eastAsia="仿宋_GB2312" w:cs="Times New Roman"/>
                <w:sz w:val="28"/>
                <w:szCs w:val="28"/>
                <w:lang w:bidi="ar"/>
              </w:rPr>
              <w:t xml:space="preserve">      </w:t>
            </w:r>
            <w:r>
              <w:rPr>
                <w:rFonts w:hint="eastAsia" w:ascii="仿宋" w:hAnsi="仿宋" w:eastAsia="仿宋" w:cs="仿宋"/>
                <w:sz w:val="28"/>
                <w:szCs w:val="28"/>
                <w:lang w:bidi="ar"/>
              </w:rPr>
              <w:t xml:space="preserve">    （盖章）                   </w:t>
            </w:r>
          </w:p>
          <w:p>
            <w:pPr>
              <w:snapToGrid w:val="0"/>
              <w:jc w:val="left"/>
              <w:rPr>
                <w:rFonts w:ascii="仿宋" w:hAnsi="仿宋" w:eastAsia="仿宋" w:cs="仿宋"/>
                <w:sz w:val="28"/>
                <w:szCs w:val="28"/>
              </w:rPr>
            </w:pPr>
          </w:p>
          <w:p>
            <w:pPr>
              <w:wordWrap w:val="0"/>
              <w:snapToGrid w:val="0"/>
              <w:jc w:val="center"/>
              <w:rPr>
                <w:rFonts w:ascii="Times New Roman" w:hAnsi="Times New Roman" w:eastAsia="方正仿宋简体" w:cs="Times New Roman"/>
                <w:sz w:val="18"/>
                <w:szCs w:val="18"/>
                <w:lang w:bidi="ar"/>
              </w:rPr>
            </w:pPr>
            <w:r>
              <w:rPr>
                <w:rFonts w:hint="eastAsia" w:ascii="仿宋" w:hAnsi="仿宋" w:eastAsia="仿宋" w:cs="仿宋"/>
                <w:sz w:val="28"/>
                <w:szCs w:val="28"/>
                <w:lang w:bidi="ar"/>
              </w:rPr>
              <w:t xml:space="preserve">                   年    月    日 </w:t>
            </w:r>
            <w:r>
              <w:rPr>
                <w:rFonts w:ascii="Times New Roman" w:hAnsi="Times New Roman" w:eastAsia="仿宋_GB2312" w:cs="Times New Roman"/>
                <w:sz w:val="28"/>
                <w:szCs w:val="28"/>
                <w:lang w:bidi="ar"/>
              </w:rPr>
              <w:t xml:space="preserve"> </w:t>
            </w:r>
            <w:r>
              <w:rPr>
                <w:rFonts w:ascii="Times New Roman" w:hAnsi="Times New Roman" w:eastAsia="仿宋_GB2312" w:cs="Times New Roman"/>
                <w:sz w:val="20"/>
                <w:szCs w:val="20"/>
                <w:lang w:bidi="ar"/>
              </w:rPr>
              <w:t xml:space="preserve">    </w:t>
            </w:r>
            <w:r>
              <w:rPr>
                <w:rFonts w:ascii="Times New Roman" w:hAnsi="Times New Roman" w:eastAsia="方正仿宋简体" w:cs="Times New Roman"/>
                <w:sz w:val="18"/>
                <w:szCs w:val="18"/>
                <w:lang w:bidi="ar"/>
              </w:rPr>
              <w:t xml:space="preserve">         </w:t>
            </w:r>
          </w:p>
          <w:p>
            <w:pPr>
              <w:rPr>
                <w:rFonts w:ascii="Times New Roman" w:hAnsi="Times New Roman" w:eastAsia="方正仿宋简体" w:cs="Times New Roman"/>
                <w:sz w:val="18"/>
                <w:szCs w:val="18"/>
                <w:lang w:bidi="ar"/>
              </w:rPr>
            </w:pPr>
          </w:p>
        </w:tc>
      </w:tr>
    </w:tbl>
    <w:p/>
    <w:sectPr>
      <w:footerReference r:id="rId7"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Garamond">
    <w:panose1 w:val="02020404030301010803"/>
    <w:charset w:val="00"/>
    <w:family w:val="roman"/>
    <w:pitch w:val="default"/>
    <w:sig w:usb0="00000287" w:usb1="00000000" w:usb2="00000000" w:usb3="00000000" w:csb0="0000009F" w:csb1="DFD70000"/>
  </w:font>
  <w:font w:name="楷体_GB2312">
    <w:altName w:val="楷体"/>
    <w:panose1 w:val="02010609030101010101"/>
    <w:charset w:val="86"/>
    <w:family w:val="modern"/>
    <w:pitch w:val="default"/>
    <w:sig w:usb0="00000000" w:usb1="00000000" w:usb2="00000000" w:usb3="00000000" w:csb0="00040000" w:csb1="00000000"/>
  </w:font>
  <w:font w:name="仿宋_GB2312">
    <w:altName w:val="仿宋"/>
    <w:panose1 w:val="02010609030101010101"/>
    <w:charset w:val="86"/>
    <w:family w:val="script"/>
    <w:pitch w:val="default"/>
    <w:sig w:usb0="00000000" w:usb1="00000000" w:usb2="00000000" w:usb3="00000000" w:csb0="00040000" w:csb1="00000000"/>
  </w:font>
  <w:font w:name="方正仿宋简体">
    <w:altName w:val="微软雅黑"/>
    <w:panose1 w:val="02000000000000000000"/>
    <w:charset w:val="86"/>
    <w:family w:val="script"/>
    <w:pitch w:val="default"/>
    <w:sig w:usb0="00000000" w:usb1="00000000" w:usb2="00000012" w:usb3="00000000" w:csb0="00040001"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方正仿宋_GB2312">
    <w:altName w:val="仿宋"/>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sz w:val="28"/>
        <w:szCs w:val="28"/>
      </w:rPr>
    </w:pP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8"/>
        <w:szCs w:val="28"/>
      </w:rPr>
    </w:pPr>
    <w:sdt>
      <w:sdtPr>
        <w:rPr>
          <w:sz w:val="28"/>
          <w:szCs w:val="28"/>
        </w:rPr>
        <w:id w:val="-176116451"/>
      </w:sdtPr>
      <w:sdtEndPr>
        <w:rPr>
          <w:sz w:val="28"/>
          <w:szCs w:val="28"/>
        </w:rPr>
      </w:sdtEndP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sz w:val="28"/>
        <w:szCs w:val="28"/>
      </w:rPr>
    </w:pPr>
  </w:p>
  <w:p>
    <w:pPr>
      <w:pStyle w:val="1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rPr>
        <w:sz w:val="28"/>
        <w:szCs w:val="28"/>
      </w:rPr>
    </w:pPr>
    <w:sdt>
      <w:sdtPr>
        <w:rPr>
          <w:sz w:val="28"/>
          <w:szCs w:val="28"/>
        </w:rPr>
        <w:id w:val="405505943"/>
      </w:sdtPr>
      <w:sdtEndPr>
        <w:rPr>
          <w:sz w:val="28"/>
          <w:szCs w:val="28"/>
        </w:rPr>
      </w:sdtEndPr>
      <w:sdtContent/>
    </w:sdt>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rPr>
        <w:sz w:val="28"/>
        <w:szCs w:val="28"/>
      </w:rPr>
    </w:pPr>
    <w:r>
      <w:rPr>
        <w:sz w:val="2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hint="eastAsia" w:ascii="Times New Roman" w:hAnsi="Times New Roman" w:cs="Times New Roman"/>
                              <w:sz w:val="24"/>
                              <w:szCs w:val="24"/>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0"/>
                      <w:rPr>
                        <w:rFonts w:ascii="Times New Roman" w:hAnsi="Times New Roman" w:cs="Times New Roman"/>
                        <w:sz w:val="24"/>
                        <w:szCs w:val="24"/>
                      </w:rPr>
                    </w:pPr>
                    <w:r>
                      <w:rPr>
                        <w:rFonts w:hint="eastAsia" w:ascii="Times New Roman" w:hAnsi="Times New Roman" w:cs="Times New Roman"/>
                        <w:sz w:val="24"/>
                        <w:szCs w:val="24"/>
                      </w:rPr>
                      <w:t>—</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hint="eastAsia" w:ascii="Times New Roman" w:hAnsi="Times New Roman" w:cs="Times New Roman"/>
                        <w:sz w:val="24"/>
                        <w:szCs w:val="24"/>
                      </w:rPr>
                      <w:t>—</w:t>
                    </w:r>
                  </w:p>
                </w:txbxContent>
              </v:textbox>
            </v:shape>
          </w:pict>
        </mc:Fallback>
      </mc:AlternateContent>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U3ZWM0NmY4MTY3OGMzMzg3MGYzN2UwMzNhZGY2NmUifQ=="/>
  </w:docVars>
  <w:rsids>
    <w:rsidRoot w:val="002816B4"/>
    <w:rsid w:val="00027E75"/>
    <w:rsid w:val="000705A6"/>
    <w:rsid w:val="00135B78"/>
    <w:rsid w:val="002816B4"/>
    <w:rsid w:val="00292E79"/>
    <w:rsid w:val="0033290F"/>
    <w:rsid w:val="004564D3"/>
    <w:rsid w:val="00643EB1"/>
    <w:rsid w:val="00670AAB"/>
    <w:rsid w:val="007517CF"/>
    <w:rsid w:val="00A972D4"/>
    <w:rsid w:val="00B11615"/>
    <w:rsid w:val="00B84BA4"/>
    <w:rsid w:val="00BF55D1"/>
    <w:rsid w:val="00C116FF"/>
    <w:rsid w:val="00CF2A26"/>
    <w:rsid w:val="00CF3D30"/>
    <w:rsid w:val="00FB53E0"/>
    <w:rsid w:val="01C76069"/>
    <w:rsid w:val="02CB619B"/>
    <w:rsid w:val="03214975"/>
    <w:rsid w:val="039510C7"/>
    <w:rsid w:val="03EE0F59"/>
    <w:rsid w:val="03FB1C52"/>
    <w:rsid w:val="053D177B"/>
    <w:rsid w:val="0569077C"/>
    <w:rsid w:val="056D353A"/>
    <w:rsid w:val="05B23FDF"/>
    <w:rsid w:val="06B70F10"/>
    <w:rsid w:val="0706033A"/>
    <w:rsid w:val="083E088F"/>
    <w:rsid w:val="08484032"/>
    <w:rsid w:val="08716136"/>
    <w:rsid w:val="08A01FD6"/>
    <w:rsid w:val="0AD34C42"/>
    <w:rsid w:val="0CF81B0D"/>
    <w:rsid w:val="0D3C5AFE"/>
    <w:rsid w:val="0D3C7776"/>
    <w:rsid w:val="0EC57F43"/>
    <w:rsid w:val="0FF327CF"/>
    <w:rsid w:val="105A290D"/>
    <w:rsid w:val="1138194B"/>
    <w:rsid w:val="115C6B79"/>
    <w:rsid w:val="11660E72"/>
    <w:rsid w:val="118D1A3B"/>
    <w:rsid w:val="128F2D41"/>
    <w:rsid w:val="13C6493D"/>
    <w:rsid w:val="143570DB"/>
    <w:rsid w:val="145D29CB"/>
    <w:rsid w:val="154F308C"/>
    <w:rsid w:val="181B60A6"/>
    <w:rsid w:val="18345CA0"/>
    <w:rsid w:val="1A7A42D7"/>
    <w:rsid w:val="1C250273"/>
    <w:rsid w:val="1C470054"/>
    <w:rsid w:val="1C497256"/>
    <w:rsid w:val="1CF87735"/>
    <w:rsid w:val="1DBA2C3C"/>
    <w:rsid w:val="1E025AFC"/>
    <w:rsid w:val="1EE06497"/>
    <w:rsid w:val="204D5FEA"/>
    <w:rsid w:val="206E03CB"/>
    <w:rsid w:val="212908DB"/>
    <w:rsid w:val="214F1D08"/>
    <w:rsid w:val="240F4105"/>
    <w:rsid w:val="25461C10"/>
    <w:rsid w:val="28096C9A"/>
    <w:rsid w:val="29B95677"/>
    <w:rsid w:val="2BA347B7"/>
    <w:rsid w:val="2BB42170"/>
    <w:rsid w:val="2E5E0419"/>
    <w:rsid w:val="2E975AAB"/>
    <w:rsid w:val="2ED510D2"/>
    <w:rsid w:val="2F1B509A"/>
    <w:rsid w:val="31807FCD"/>
    <w:rsid w:val="31F9588B"/>
    <w:rsid w:val="325B051D"/>
    <w:rsid w:val="3367152C"/>
    <w:rsid w:val="34CA0BC8"/>
    <w:rsid w:val="34F256BC"/>
    <w:rsid w:val="35C56DEB"/>
    <w:rsid w:val="36114E86"/>
    <w:rsid w:val="363475D8"/>
    <w:rsid w:val="36C07589"/>
    <w:rsid w:val="37E2009C"/>
    <w:rsid w:val="39027305"/>
    <w:rsid w:val="39A92DD2"/>
    <w:rsid w:val="3A746DAE"/>
    <w:rsid w:val="3C326648"/>
    <w:rsid w:val="3EE002FD"/>
    <w:rsid w:val="40864ED4"/>
    <w:rsid w:val="4173426F"/>
    <w:rsid w:val="41D12C03"/>
    <w:rsid w:val="448734FB"/>
    <w:rsid w:val="44A973E3"/>
    <w:rsid w:val="4518349C"/>
    <w:rsid w:val="46C95B1B"/>
    <w:rsid w:val="488969C1"/>
    <w:rsid w:val="488C4D1B"/>
    <w:rsid w:val="48BF62D9"/>
    <w:rsid w:val="499008DC"/>
    <w:rsid w:val="49CE49C4"/>
    <w:rsid w:val="4C6E4B4C"/>
    <w:rsid w:val="4CBA700C"/>
    <w:rsid w:val="4E6656E1"/>
    <w:rsid w:val="51251184"/>
    <w:rsid w:val="538E6122"/>
    <w:rsid w:val="53AF58E7"/>
    <w:rsid w:val="53EB192A"/>
    <w:rsid w:val="54500C0A"/>
    <w:rsid w:val="5467795A"/>
    <w:rsid w:val="5503044A"/>
    <w:rsid w:val="55EC35D4"/>
    <w:rsid w:val="56F14D10"/>
    <w:rsid w:val="5749020C"/>
    <w:rsid w:val="574C062F"/>
    <w:rsid w:val="57F74CC6"/>
    <w:rsid w:val="585316E8"/>
    <w:rsid w:val="58773629"/>
    <w:rsid w:val="5BFE1656"/>
    <w:rsid w:val="5CC50E18"/>
    <w:rsid w:val="5CE01E80"/>
    <w:rsid w:val="5DD14DCD"/>
    <w:rsid w:val="5F2176D5"/>
    <w:rsid w:val="5F27768F"/>
    <w:rsid w:val="5F9A2F47"/>
    <w:rsid w:val="60D11763"/>
    <w:rsid w:val="614B5857"/>
    <w:rsid w:val="632E6FDA"/>
    <w:rsid w:val="641C32D6"/>
    <w:rsid w:val="642969DF"/>
    <w:rsid w:val="66744F3C"/>
    <w:rsid w:val="66AC0D5C"/>
    <w:rsid w:val="6712447F"/>
    <w:rsid w:val="68637BA4"/>
    <w:rsid w:val="68697AC5"/>
    <w:rsid w:val="69032B47"/>
    <w:rsid w:val="6924290F"/>
    <w:rsid w:val="6B797260"/>
    <w:rsid w:val="6BE4292B"/>
    <w:rsid w:val="6C441742"/>
    <w:rsid w:val="6C733CAF"/>
    <w:rsid w:val="6E2C680B"/>
    <w:rsid w:val="6ECC4D27"/>
    <w:rsid w:val="6EF47386"/>
    <w:rsid w:val="6F1F5AA1"/>
    <w:rsid w:val="70060C5C"/>
    <w:rsid w:val="710F02DC"/>
    <w:rsid w:val="71A212D0"/>
    <w:rsid w:val="72E914AC"/>
    <w:rsid w:val="74603AB3"/>
    <w:rsid w:val="74B43A5E"/>
    <w:rsid w:val="75187431"/>
    <w:rsid w:val="76904752"/>
    <w:rsid w:val="780A6A60"/>
    <w:rsid w:val="78D45AD6"/>
    <w:rsid w:val="79606F7E"/>
    <w:rsid w:val="7A342090"/>
    <w:rsid w:val="7B4707E1"/>
    <w:rsid w:val="7BAA0151"/>
    <w:rsid w:val="7C6A7C2C"/>
    <w:rsid w:val="7C9E00F1"/>
    <w:rsid w:val="7EDF3179"/>
    <w:rsid w:val="7F62528C"/>
    <w:rsid w:val="7FDC11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7">
    <w:name w:val="heading 1"/>
    <w:basedOn w:val="1"/>
    <w:next w:val="1"/>
    <w:qFormat/>
    <w:uiPriority w:val="0"/>
    <w:pPr>
      <w:keepNext/>
      <w:keepLines/>
      <w:spacing w:before="340" w:after="330" w:line="360" w:lineRule="auto"/>
      <w:jc w:val="center"/>
      <w:outlineLvl w:val="0"/>
    </w:pPr>
    <w:rPr>
      <w:rFonts w:eastAsia="方正小标宋简体"/>
      <w:kern w:val="44"/>
      <w:sz w:val="36"/>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2"/>
    <w:basedOn w:val="1"/>
    <w:next w:val="3"/>
    <w:qFormat/>
    <w:uiPriority w:val="0"/>
    <w:pPr>
      <w:spacing w:after="120" w:line="480" w:lineRule="auto"/>
    </w:pPr>
    <w:rPr>
      <w:rFonts w:ascii="Calibri" w:hAnsi="Calibri" w:eastAsia="宋体" w:cs="Times New Roman"/>
      <w:sz w:val="32"/>
      <w:szCs w:val="32"/>
      <w:u w:val="single"/>
    </w:rPr>
  </w:style>
  <w:style w:type="paragraph" w:styleId="3">
    <w:name w:val="Body Text"/>
    <w:basedOn w:val="1"/>
    <w:next w:val="4"/>
    <w:qFormat/>
    <w:uiPriority w:val="0"/>
    <w:pPr>
      <w:widowControl/>
      <w:spacing w:after="240"/>
      <w:jc w:val="left"/>
    </w:pPr>
    <w:rPr>
      <w:rFonts w:ascii="Garamond" w:hAnsi="Garamond"/>
      <w:spacing w:val="-5"/>
      <w:kern w:val="0"/>
      <w:sz w:val="24"/>
      <w:lang w:bidi="he-IL"/>
    </w:rPr>
  </w:style>
  <w:style w:type="paragraph" w:customStyle="1" w:styleId="4">
    <w:name w:val="一级条标题"/>
    <w:basedOn w:val="5"/>
    <w:next w:val="6"/>
    <w:qFormat/>
    <w:uiPriority w:val="0"/>
    <w:pPr>
      <w:spacing w:line="240" w:lineRule="auto"/>
      <w:ind w:left="420"/>
      <w:outlineLvl w:val="2"/>
    </w:pPr>
  </w:style>
  <w:style w:type="paragraph" w:customStyle="1" w:styleId="5">
    <w:name w:val="章标题"/>
    <w:next w:val="1"/>
    <w:qFormat/>
    <w:uiPriority w:val="0"/>
    <w:pPr>
      <w:spacing w:line="360" w:lineRule="auto"/>
      <w:jc w:val="both"/>
      <w:outlineLvl w:val="1"/>
    </w:pPr>
    <w:rPr>
      <w:rFonts w:ascii="黑体" w:hAnsi="Times New Roman" w:eastAsia="黑体" w:cs="Times New Roman"/>
      <w:sz w:val="21"/>
      <w:szCs w:val="22"/>
      <w:lang w:val="en-US" w:eastAsia="zh-CN" w:bidi="ar-SA"/>
    </w:rPr>
  </w:style>
  <w:style w:type="paragraph" w:customStyle="1" w:styleId="6">
    <w:name w:val="段"/>
    <w:next w:val="1"/>
    <w:qFormat/>
    <w:uiPriority w:val="0"/>
    <w:pPr>
      <w:autoSpaceDE w:val="0"/>
      <w:autoSpaceDN w:val="0"/>
      <w:ind w:firstLine="200" w:firstLineChars="200"/>
      <w:jc w:val="both"/>
    </w:pPr>
    <w:rPr>
      <w:rFonts w:ascii="宋体" w:hAnsi="Times New Roman" w:eastAsia="宋体" w:cs="Times New Roman"/>
      <w:sz w:val="21"/>
      <w:szCs w:val="22"/>
      <w:lang w:val="en-US" w:eastAsia="zh-CN" w:bidi="ar-SA"/>
    </w:rPr>
  </w:style>
  <w:style w:type="paragraph" w:styleId="8">
    <w:name w:val="annotation text"/>
    <w:basedOn w:val="1"/>
    <w:link w:val="21"/>
    <w:qFormat/>
    <w:uiPriority w:val="0"/>
    <w:pPr>
      <w:jc w:val="left"/>
    </w:pPr>
  </w:style>
  <w:style w:type="paragraph" w:styleId="9">
    <w:name w:val="Balloon Text"/>
    <w:basedOn w:val="1"/>
    <w:link w:val="20"/>
    <w:qFormat/>
    <w:uiPriority w:val="0"/>
    <w:rPr>
      <w:sz w:val="18"/>
      <w:szCs w:val="18"/>
    </w:rPr>
  </w:style>
  <w:style w:type="paragraph" w:styleId="10">
    <w:name w:val="footer"/>
    <w:basedOn w:val="1"/>
    <w:unhideWhenUsed/>
    <w:qFormat/>
    <w:uiPriority w:val="99"/>
    <w:pPr>
      <w:tabs>
        <w:tab w:val="center" w:pos="4153"/>
        <w:tab w:val="right" w:pos="8306"/>
      </w:tabs>
      <w:snapToGrid w:val="0"/>
      <w:jc w:val="left"/>
    </w:pPr>
    <w:rPr>
      <w:sz w:val="18"/>
      <w:szCs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2">
    <w:name w:val="annotation subject"/>
    <w:basedOn w:val="8"/>
    <w:next w:val="8"/>
    <w:link w:val="22"/>
    <w:qFormat/>
    <w:uiPriority w:val="0"/>
    <w:rPr>
      <w:b/>
      <w:bCs/>
    </w:rPr>
  </w:style>
  <w:style w:type="character" w:styleId="15">
    <w:name w:val="annotation reference"/>
    <w:basedOn w:val="14"/>
    <w:qFormat/>
    <w:uiPriority w:val="0"/>
    <w:rPr>
      <w:sz w:val="21"/>
      <w:szCs w:val="21"/>
    </w:rPr>
  </w:style>
  <w:style w:type="paragraph" w:customStyle="1" w:styleId="16">
    <w:name w:val="标题二2（楷体标题）"/>
    <w:basedOn w:val="1"/>
    <w:next w:val="7"/>
    <w:qFormat/>
    <w:uiPriority w:val="0"/>
    <w:pPr>
      <w:spacing w:line="560" w:lineRule="exact"/>
      <w:jc w:val="center"/>
    </w:pPr>
    <w:rPr>
      <w:rFonts w:ascii="宋体" w:hAnsi="宋体" w:cs="宋体"/>
      <w:sz w:val="28"/>
      <w:szCs w:val="28"/>
    </w:rPr>
  </w:style>
  <w:style w:type="paragraph" w:customStyle="1" w:styleId="17">
    <w:name w:val="首行缩进"/>
    <w:basedOn w:val="1"/>
    <w:qFormat/>
    <w:uiPriority w:val="0"/>
  </w:style>
  <w:style w:type="table" w:customStyle="1" w:styleId="18">
    <w:name w:val="网格型1"/>
    <w:basedOn w:val="13"/>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9">
    <w:name w:val="列出段落1"/>
    <w:basedOn w:val="1"/>
    <w:qFormat/>
    <w:uiPriority w:val="0"/>
    <w:pPr>
      <w:ind w:firstLine="420" w:firstLineChars="200"/>
    </w:pPr>
  </w:style>
  <w:style w:type="character" w:customStyle="1" w:styleId="20">
    <w:name w:val="批注框文本 Char"/>
    <w:basedOn w:val="14"/>
    <w:link w:val="9"/>
    <w:qFormat/>
    <w:uiPriority w:val="0"/>
    <w:rPr>
      <w:rFonts w:asciiTheme="minorHAnsi" w:hAnsiTheme="minorHAnsi" w:eastAsiaTheme="minorEastAsia" w:cstheme="minorBidi"/>
      <w:kern w:val="2"/>
      <w:sz w:val="18"/>
      <w:szCs w:val="18"/>
    </w:rPr>
  </w:style>
  <w:style w:type="character" w:customStyle="1" w:styleId="21">
    <w:name w:val="批注文字 Char"/>
    <w:basedOn w:val="14"/>
    <w:link w:val="8"/>
    <w:qFormat/>
    <w:uiPriority w:val="0"/>
    <w:rPr>
      <w:rFonts w:asciiTheme="minorHAnsi" w:hAnsiTheme="minorHAnsi" w:eastAsiaTheme="minorEastAsia" w:cstheme="minorBidi"/>
      <w:kern w:val="2"/>
      <w:sz w:val="21"/>
      <w:szCs w:val="22"/>
    </w:rPr>
  </w:style>
  <w:style w:type="character" w:customStyle="1" w:styleId="22">
    <w:name w:val="批注主题 Char"/>
    <w:basedOn w:val="21"/>
    <w:link w:val="12"/>
    <w:qFormat/>
    <w:uiPriority w:val="0"/>
    <w:rPr>
      <w:rFonts w:asciiTheme="minorHAnsi" w:hAnsiTheme="minorHAnsi" w:eastAsiaTheme="minorEastAsia" w:cstheme="minorBidi"/>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12</Pages>
  <Words>4725</Words>
  <Characters>4974</Characters>
  <Lines>5</Lines>
  <Paragraphs>11</Paragraphs>
  <TotalTime>4</TotalTime>
  <ScaleCrop>false</ScaleCrop>
  <LinksUpToDate>false</LinksUpToDate>
  <CharactersWithSpaces>5109</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2022-11-24T10:44:00Z</dcterms:created>
  <dc:creator>DELL</dc:creator>
  <cp:lastModifiedBy>ling仔</cp:lastModifiedBy>
  <dcterms:modified xsi:type="dcterms:W3CDTF">2023-12-02T06:17:57Z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2395826DFB7346ABB135B8CD54074A87_13</vt:lpwstr>
  </property>
</Properties>
</file>