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outlineLvl w:val="0"/>
        <w:rPr>
          <w:rFonts w:ascii="Times New Roman" w:hAnsi="Times New Roman" w:eastAsia="黑体" w:cs="Times New Roman"/>
          <w:sz w:val="28"/>
          <w:szCs w:val="28"/>
        </w:rPr>
      </w:pPr>
      <w:r>
        <w:rPr>
          <w:rFonts w:ascii="Times New Roman" w:hAnsi="Times New Roman" w:eastAsia="黑体" w:cs="Times New Roman"/>
          <w:sz w:val="28"/>
          <w:szCs w:val="28"/>
        </w:rPr>
        <w:t>附件5</w:t>
      </w:r>
    </w:p>
    <w:p>
      <w:pPr>
        <w:jc w:val="center"/>
        <w:rPr>
          <w:rFonts w:ascii="Times New Roman" w:hAnsi="Times New Roman" w:eastAsia="方正小标宋简体" w:cs="Times New Roman"/>
          <w:snapToGrid w:val="0"/>
          <w:spacing w:val="-10"/>
          <w:sz w:val="44"/>
          <w:szCs w:val="44"/>
        </w:rPr>
      </w:pPr>
    </w:p>
    <w:p>
      <w:pPr>
        <w:jc w:val="center"/>
        <w:rPr>
          <w:rFonts w:ascii="Times New Roman" w:hAnsi="Times New Roman" w:eastAsia="方正小标宋简体" w:cs="Times New Roman"/>
          <w:snapToGrid w:val="0"/>
          <w:spacing w:val="-10"/>
          <w:sz w:val="44"/>
          <w:szCs w:val="44"/>
        </w:rPr>
      </w:pPr>
    </w:p>
    <w:p>
      <w:pPr>
        <w:snapToGrid w:val="0"/>
        <w:jc w:val="center"/>
        <w:textAlignment w:val="baseline"/>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高职本科拟招生专业信息表</w:t>
      </w:r>
    </w:p>
    <w:p>
      <w:pPr>
        <w:jc w:val="center"/>
        <w:outlineLvl w:val="0"/>
        <w:rPr>
          <w:rFonts w:ascii="Times New Roman" w:hAnsi="Times New Roman" w:eastAsia="楷体_GB2312" w:cs="Times New Roman"/>
          <w:b/>
          <w:bCs/>
          <w:snapToGrid w:val="0"/>
          <w:spacing w:val="-10"/>
          <w:sz w:val="44"/>
          <w:szCs w:val="44"/>
        </w:rPr>
      </w:pPr>
      <w:r>
        <w:rPr>
          <w:rFonts w:ascii="Times New Roman" w:hAnsi="Times New Roman" w:eastAsia="方正小标宋简体" w:cs="Times New Roman"/>
          <w:bCs/>
          <w:sz w:val="36"/>
          <w:szCs w:val="36"/>
        </w:rPr>
        <w:t>（新增设）</w:t>
      </w:r>
    </w:p>
    <w:p>
      <w:pPr>
        <w:ind w:left="930" w:leftChars="443"/>
        <w:rPr>
          <w:rFonts w:ascii="Times New Roman" w:hAnsi="Times New Roman" w:eastAsia="楷体_GB2312" w:cs="Times New Roman"/>
          <w:sz w:val="32"/>
          <w:szCs w:val="32"/>
          <w:lang w:bidi="ar"/>
        </w:rPr>
      </w:pPr>
    </w:p>
    <w:tbl>
      <w:tblPr>
        <w:tblStyle w:val="12"/>
        <w:tblW w:w="8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0"/>
        <w:gridCol w:w="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学校名称(盖章)：</w:t>
            </w:r>
          </w:p>
        </w:tc>
        <w:tc>
          <w:tcPr>
            <w:tcW w:w="3891" w:type="dxa"/>
          </w:tcPr>
          <w:p>
            <w:pPr>
              <w:widowControl/>
              <w:overflowPunct w:val="0"/>
              <w:adjustRightInd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广西城市职业大学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学校主管部门：</w:t>
            </w:r>
          </w:p>
        </w:tc>
        <w:tc>
          <w:tcPr>
            <w:tcW w:w="3891" w:type="dxa"/>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广西壮族自治区教育厅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rPr>
            </w:pPr>
            <w:r>
              <w:rPr>
                <w:rFonts w:ascii="Times New Roman" w:hAnsi="Times New Roman" w:eastAsia="仿宋_GB2312" w:cs="Times New Roman"/>
                <w:sz w:val="32"/>
                <w:szCs w:val="32"/>
                <w:lang w:bidi="ar"/>
              </w:rPr>
              <w:t>专业名称：</w:t>
            </w:r>
          </w:p>
        </w:tc>
        <w:tc>
          <w:tcPr>
            <w:tcW w:w="3891" w:type="dxa"/>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电气工程及自动化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专业代码：</w:t>
            </w:r>
          </w:p>
        </w:tc>
        <w:tc>
          <w:tcPr>
            <w:tcW w:w="3891" w:type="dxa"/>
          </w:tcPr>
          <w:p>
            <w:pPr>
              <w:keepNext w:val="0"/>
              <w:keepLines w:val="0"/>
              <w:widowControl/>
              <w:suppressLineNumbers w:val="0"/>
              <w:jc w:val="center"/>
              <w:rPr>
                <w:rFonts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260302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修业年限：</w:t>
            </w:r>
          </w:p>
        </w:tc>
        <w:tc>
          <w:tcPr>
            <w:tcW w:w="3891" w:type="dxa"/>
          </w:tcPr>
          <w:p>
            <w:pPr>
              <w:widowControl/>
              <w:overflowPunct w:val="0"/>
              <w:adjustRightInd w:val="0"/>
              <w:jc w:val="center"/>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拟招生数：</w:t>
            </w:r>
          </w:p>
        </w:tc>
        <w:tc>
          <w:tcPr>
            <w:tcW w:w="3891" w:type="dxa"/>
          </w:tcPr>
          <w:p>
            <w:pPr>
              <w:widowControl/>
              <w:overflowPunct w:val="0"/>
              <w:adjustRightInd w:val="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200人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pacing w:val="-20"/>
                <w:sz w:val="32"/>
                <w:szCs w:val="32"/>
                <w:lang w:bidi="ar"/>
              </w:rPr>
              <w:t>专业负责人</w:t>
            </w:r>
            <w:r>
              <w:rPr>
                <w:rFonts w:ascii="Times New Roman" w:hAnsi="Times New Roman" w:eastAsia="仿宋_GB2312" w:cs="Times New Roman"/>
                <w:sz w:val="32"/>
                <w:szCs w:val="32"/>
                <w:lang w:bidi="ar"/>
              </w:rPr>
              <w:t>：</w:t>
            </w:r>
          </w:p>
        </w:tc>
        <w:tc>
          <w:tcPr>
            <w:tcW w:w="3891" w:type="dxa"/>
          </w:tcPr>
          <w:p>
            <w:pPr>
              <w:widowControl/>
              <w:overflowPunct w:val="0"/>
              <w:adjustRightInd w:val="0"/>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李玉琴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联系电话：</w:t>
            </w:r>
          </w:p>
        </w:tc>
        <w:tc>
          <w:tcPr>
            <w:tcW w:w="3891" w:type="dxa"/>
          </w:tcPr>
          <w:p>
            <w:pPr>
              <w:widowControl/>
              <w:overflowPunct w:val="0"/>
              <w:adjustRightInd w:val="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17776547896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申请时间：</w:t>
            </w:r>
          </w:p>
        </w:tc>
        <w:tc>
          <w:tcPr>
            <w:tcW w:w="3891" w:type="dxa"/>
          </w:tcPr>
          <w:p>
            <w:pPr>
              <w:widowControl/>
              <w:overflowPunct w:val="0"/>
              <w:adjustRightInd w:val="0"/>
              <w:jc w:val="center"/>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2023年11月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法定代表人签字：</w:t>
            </w:r>
          </w:p>
        </w:tc>
        <w:tc>
          <w:tcPr>
            <w:tcW w:w="3891" w:type="dxa"/>
          </w:tcPr>
          <w:p>
            <w:pPr>
              <w:widowControl/>
              <w:overflowPunct w:val="0"/>
              <w:adjustRightInd w:val="0"/>
              <w:jc w:val="center"/>
              <w:rPr>
                <w:rFonts w:ascii="Times New Roman" w:hAnsi="Times New Roman" w:eastAsia="仿宋_GB2312" w:cs="Times New Roman"/>
                <w:sz w:val="32"/>
                <w:szCs w:val="32"/>
              </w:rPr>
            </w:pPr>
          </w:p>
        </w:tc>
      </w:tr>
    </w:tbl>
    <w:p>
      <w:pPr>
        <w:ind w:left="930" w:leftChars="443"/>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pStyle w:val="11"/>
        <w:rPr>
          <w:rFonts w:ascii="Times New Roman" w:hAnsi="Times New Roman" w:eastAsia="楷体_GB2312" w:cs="Times New Roman"/>
          <w:sz w:val="32"/>
          <w:szCs w:val="32"/>
          <w:lang w:bidi="ar"/>
        </w:rPr>
      </w:pPr>
    </w:p>
    <w:p>
      <w:pPr>
        <w:pStyle w:val="11"/>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6"/>
          <w:szCs w:val="24"/>
        </w:rPr>
      </w:pPr>
      <w:r>
        <w:rPr>
          <w:rFonts w:ascii="Times New Roman" w:hAnsi="Times New Roman" w:eastAsia="仿宋_GB2312" w:cs="Times New Roman"/>
          <w:sz w:val="36"/>
        </w:rPr>
        <w:t>中华人民共和国教育部制</w:t>
      </w:r>
    </w:p>
    <w:p>
      <w:pPr>
        <w:jc w:val="center"/>
        <w:rPr>
          <w:rFonts w:ascii="Times New Roman" w:hAnsi="Times New Roman" w:eastAsia="楷体_GB2312" w:cs="Times New Roman"/>
          <w:sz w:val="36"/>
          <w:szCs w:val="24"/>
        </w:rPr>
      </w:pPr>
    </w:p>
    <w:p>
      <w:pPr>
        <w:jc w:val="both"/>
        <w:rPr>
          <w:rFonts w:ascii="Times New Roman" w:hAnsi="Times New Roman" w:eastAsia="楷体_GB2312" w:cs="Times New Roman"/>
          <w:sz w:val="32"/>
          <w:szCs w:val="32"/>
          <w:lang w:bidi="ar"/>
        </w:rPr>
        <w:sectPr>
          <w:footerReference r:id="rId4" w:type="first"/>
          <w:footerReference r:id="rId3" w:type="default"/>
          <w:pgSz w:w="11906" w:h="16838"/>
          <w:pgMar w:top="1440" w:right="1803" w:bottom="1440" w:left="1803" w:header="851" w:footer="850" w:gutter="0"/>
          <w:cols w:space="720" w:num="1"/>
          <w:titlePg/>
          <w:docGrid w:type="lines" w:linePitch="579" w:charSpace="21679"/>
        </w:sectPr>
      </w:pPr>
    </w:p>
    <w:p>
      <w:pPr>
        <w:jc w:val="both"/>
        <w:rPr>
          <w:rFonts w:ascii="Times New Roman" w:hAnsi="Times New Roman" w:eastAsia="楷体_GB2312" w:cs="Times New Roman"/>
          <w:sz w:val="32"/>
          <w:szCs w:val="32"/>
          <w:lang w:bidi="ar"/>
        </w:rPr>
      </w:pPr>
    </w:p>
    <w:p>
      <w:pPr>
        <w:jc w:val="center"/>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填表说明</w:t>
      </w:r>
    </w:p>
    <w:p>
      <w:pPr>
        <w:jc w:val="center"/>
        <w:rPr>
          <w:rFonts w:ascii="Times New Roman" w:hAnsi="Times New Roman" w:eastAsia="仿宋_GB2312" w:cs="Times New Roman"/>
          <w:sz w:val="32"/>
          <w:szCs w:val="32"/>
          <w:lang w:bidi="ar"/>
        </w:rPr>
      </w:pP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1.本表用于各学校填报新增拟招生的高职本科教育专业信息。</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2.根据《本科层次职业教育专业设置管理办法（试行）》（以下简称《办法》）的要求如实填报。</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3.表中所填内容要言简意赅，如有需要可另附报告，一个专业对应的报告单独一册，双面打印，单独装订。</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4.学校承诺本表所填师资、办学条件等基本情况真实、准确，如有虚假，一经发现，严肃处理。</w:t>
      </w: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snapToGrid w:val="0"/>
        <w:jc w:val="center"/>
        <w:rPr>
          <w:rFonts w:ascii="Times New Roman" w:hAnsi="Times New Roman" w:eastAsia="方正仿宋简体" w:cs="Times New Roman"/>
          <w:sz w:val="24"/>
          <w:szCs w:val="24"/>
        </w:rPr>
        <w:sectPr>
          <w:footerReference r:id="rId6" w:type="first"/>
          <w:footerReference r:id="rId5" w:type="default"/>
          <w:pgSz w:w="11906" w:h="16838"/>
          <w:pgMar w:top="1440" w:right="1803" w:bottom="1440" w:left="1803" w:header="851" w:footer="850" w:gutter="0"/>
          <w:pgNumType w:start="1"/>
          <w:cols w:space="720" w:num="1"/>
          <w:titlePg/>
          <w:docGrid w:type="lines" w:linePitch="579" w:charSpace="21679"/>
        </w:sectPr>
      </w:pPr>
    </w:p>
    <w:tbl>
      <w:tblPr>
        <w:tblStyle w:val="8"/>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01"/>
        <w:gridCol w:w="1606"/>
        <w:gridCol w:w="2646"/>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732" w:type="dxa"/>
            <w:gridSpan w:val="5"/>
            <w:vAlign w:val="center"/>
          </w:tcPr>
          <w:p>
            <w:pPr>
              <w:snapToGrid w:val="0"/>
              <w:jc w:val="left"/>
              <w:rPr>
                <w:rFonts w:ascii="Times New Roman" w:hAnsi="Times New Roman" w:eastAsia="仿宋_GB2312" w:cs="Times New Roman"/>
                <w:sz w:val="24"/>
                <w:szCs w:val="24"/>
              </w:rPr>
            </w:pPr>
            <w:r>
              <w:rPr>
                <w:rFonts w:ascii="Times New Roman" w:hAnsi="Times New Roman" w:eastAsia="仿宋_GB2312" w:cs="Times New Roman"/>
                <w:b/>
                <w:bCs/>
                <w:sz w:val="24"/>
                <w:szCs w:val="24"/>
              </w:rPr>
              <w:t>拟招生专业基本情况：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拟招生专业名称</w:t>
            </w:r>
          </w:p>
        </w:tc>
        <w:tc>
          <w:tcPr>
            <w:tcW w:w="1606" w:type="dxa"/>
            <w:vAlign w:val="center"/>
          </w:tcPr>
          <w:p>
            <w:pPr>
              <w:snapToGrid w:val="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电气工程及自动化</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专业代码</w:t>
            </w:r>
          </w:p>
        </w:tc>
        <w:tc>
          <w:tcPr>
            <w:tcW w:w="1791" w:type="dxa"/>
            <w:vAlign w:val="center"/>
          </w:tcPr>
          <w:p>
            <w:pPr>
              <w:keepNext w:val="0"/>
              <w:keepLines w:val="0"/>
              <w:widowControl/>
              <w:suppressLineNumbers w:val="0"/>
              <w:jc w:val="center"/>
              <w:rPr>
                <w:rFonts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260302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办学性质</w:t>
            </w:r>
          </w:p>
        </w:tc>
        <w:tc>
          <w:tcPr>
            <w:tcW w:w="1606"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民办</w:t>
            </w:r>
          </w:p>
        </w:tc>
        <w:tc>
          <w:tcPr>
            <w:tcW w:w="2646" w:type="dxa"/>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学位授予学科门类</w:t>
            </w:r>
          </w:p>
        </w:tc>
        <w:tc>
          <w:tcPr>
            <w:tcW w:w="1791" w:type="dxa"/>
            <w:vAlign w:val="center"/>
          </w:tcPr>
          <w:p>
            <w:pPr>
              <w:snapToGrid w:val="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工学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202</w:t>
            </w:r>
            <w:r>
              <w:rPr>
                <w:rFonts w:hint="eastAsia" w:ascii="Times New Roman" w:hAnsi="Times New Roman" w:eastAsia="仿宋_GB2312" w:cs="Times New Roman"/>
                <w:sz w:val="24"/>
                <w:szCs w:val="24"/>
                <w:lang w:val="en-US" w:eastAsia="zh-CN"/>
              </w:rPr>
              <w:t>4</w:t>
            </w:r>
            <w:r>
              <w:rPr>
                <w:rFonts w:ascii="Times New Roman" w:hAnsi="Times New Roman" w:eastAsia="仿宋_GB2312" w:cs="Times New Roman"/>
                <w:sz w:val="24"/>
                <w:szCs w:val="24"/>
              </w:rPr>
              <w:t>年拟招生数（人）</w:t>
            </w:r>
          </w:p>
        </w:tc>
        <w:tc>
          <w:tcPr>
            <w:tcW w:w="1606" w:type="dxa"/>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200</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学制</w:t>
            </w:r>
          </w:p>
        </w:tc>
        <w:tc>
          <w:tcPr>
            <w:tcW w:w="1791" w:type="dxa"/>
            <w:vAlign w:val="center"/>
          </w:tcPr>
          <w:p>
            <w:pPr>
              <w:snapToGrid w:val="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四年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总学时</w:t>
            </w:r>
          </w:p>
        </w:tc>
        <w:tc>
          <w:tcPr>
            <w:tcW w:w="1606"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3148</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实践教学学时</w:t>
            </w:r>
          </w:p>
        </w:tc>
        <w:tc>
          <w:tcPr>
            <w:tcW w:w="1791" w:type="dxa"/>
            <w:vAlign w:val="center"/>
          </w:tcPr>
          <w:p>
            <w:pPr>
              <w:snapToGrid w:val="0"/>
              <w:jc w:val="center"/>
              <w:rPr>
                <w:rFonts w:ascii="Times New Roman" w:hAnsi="Times New Roman" w:eastAsia="仿宋_GB2312" w:cs="Times New Roman"/>
                <w:sz w:val="24"/>
                <w:szCs w:val="24"/>
                <w:highlight w:val="none"/>
              </w:rPr>
            </w:pPr>
            <w:r>
              <w:rPr>
                <w:rFonts w:hint="eastAsia" w:ascii="宋体" w:hAnsi="宋体"/>
                <w:sz w:val="24"/>
                <w:szCs w:val="24"/>
                <w:highlight w:val="none"/>
                <w:lang w:val="en-US" w:eastAsia="zh-CN"/>
              </w:rPr>
              <w:t>1606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689" w:type="dxa"/>
            <w:gridSpan w:val="2"/>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实践教学学时占总学时的比例</w:t>
            </w:r>
          </w:p>
        </w:tc>
        <w:tc>
          <w:tcPr>
            <w:tcW w:w="1606" w:type="dxa"/>
            <w:vAlign w:val="center"/>
          </w:tcPr>
          <w:p>
            <w:pPr>
              <w:snapToGrid w:val="0"/>
              <w:jc w:val="center"/>
              <w:rPr>
                <w:rFonts w:ascii="Times New Roman" w:hAnsi="Times New Roman" w:eastAsia="仿宋_GB2312" w:cs="Times New Roman"/>
                <w:sz w:val="24"/>
                <w:szCs w:val="24"/>
                <w:highlight w:val="none"/>
              </w:rPr>
            </w:pPr>
            <w:r>
              <w:rPr>
                <w:rFonts w:hint="eastAsia" w:ascii="Times New Roman" w:hAnsi="Times New Roman" w:eastAsia="仿宋_GB2312" w:cs="Times New Roman"/>
                <w:sz w:val="24"/>
                <w:szCs w:val="24"/>
                <w:lang w:val="en-US" w:eastAsia="zh-CN"/>
              </w:rPr>
              <w:t>51.02%</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实验实训项目（任务）能够开出率（%）</w:t>
            </w:r>
          </w:p>
        </w:tc>
        <w:tc>
          <w:tcPr>
            <w:tcW w:w="1791" w:type="dxa"/>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“双师型”教师</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占比（%）</w:t>
            </w:r>
          </w:p>
        </w:tc>
        <w:tc>
          <w:tcPr>
            <w:tcW w:w="1606" w:type="dxa"/>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70.37</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兼职教师数（人）</w:t>
            </w:r>
          </w:p>
        </w:tc>
        <w:tc>
          <w:tcPr>
            <w:tcW w:w="1791"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兼职教师计划承担的专业课授课学时占专业课总学时比例（%）</w:t>
            </w:r>
          </w:p>
        </w:tc>
        <w:tc>
          <w:tcPr>
            <w:tcW w:w="1606" w:type="dxa"/>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25.87</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是否有省级及以上教育行政部门等认定的高水平教师教学（科研）创新团队</w:t>
            </w:r>
          </w:p>
        </w:tc>
        <w:tc>
          <w:tcPr>
            <w:tcW w:w="1791"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省级及以上教学名师数量（人）</w:t>
            </w:r>
          </w:p>
        </w:tc>
        <w:tc>
          <w:tcPr>
            <w:tcW w:w="1606" w:type="dxa"/>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0</w:t>
            </w:r>
          </w:p>
        </w:tc>
        <w:tc>
          <w:tcPr>
            <w:tcW w:w="2646" w:type="dxa"/>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省级及以上教学领域有关奖励数量（项）</w:t>
            </w:r>
          </w:p>
        </w:tc>
        <w:tc>
          <w:tcPr>
            <w:tcW w:w="1791" w:type="dxa"/>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2689" w:type="dxa"/>
            <w:gridSpan w:val="2"/>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生均教学科研仪器设备值（万元）</w:t>
            </w:r>
          </w:p>
        </w:tc>
        <w:tc>
          <w:tcPr>
            <w:tcW w:w="1606" w:type="dxa"/>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highlight w:val="none"/>
                <w:lang w:val="en-US" w:eastAsia="zh-CN"/>
              </w:rPr>
              <w:t>2.01</w:t>
            </w:r>
          </w:p>
        </w:tc>
        <w:tc>
          <w:tcPr>
            <w:tcW w:w="2646"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是否有省级及以上技术研发推广平台</w:t>
            </w:r>
          </w:p>
        </w:tc>
        <w:tc>
          <w:tcPr>
            <w:tcW w:w="1791" w:type="dxa"/>
            <w:vAlign w:val="center"/>
          </w:tcPr>
          <w:p>
            <w:pPr>
              <w:snapToGrid w:val="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732" w:type="dxa"/>
            <w:gridSpan w:val="5"/>
            <w:tcBorders>
              <w:bottom w:val="single" w:color="000000" w:sz="4" w:space="0"/>
            </w:tcBorders>
            <w:vAlign w:val="center"/>
          </w:tcPr>
          <w:p>
            <w:pPr>
              <w:snapToGrid w:val="0"/>
              <w:jc w:val="left"/>
              <w:rPr>
                <w:rFonts w:hint="eastAsia" w:ascii="Times New Roman" w:hAnsi="Times New Roman" w:eastAsia="仿宋_GB2312" w:cs="Times New Roman"/>
                <w:sz w:val="24"/>
                <w:szCs w:val="24"/>
                <w:lang w:eastAsia="zh-CN"/>
              </w:rPr>
            </w:pPr>
            <w:r>
              <w:rPr>
                <w:rFonts w:ascii="Times New Roman" w:hAnsi="Times New Roman" w:eastAsia="仿宋_GB2312" w:cs="Times New Roman"/>
                <w:b/>
                <w:bCs/>
                <w:sz w:val="24"/>
                <w:szCs w:val="24"/>
              </w:rPr>
              <w:t>所依托主要专业基本情况：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专业名称</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电气自动化技术</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专业代码</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460306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专业开设时间</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2010</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是否为省级以上</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重点（特色）专业</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本专业全日制</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在校生数（人）</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446</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本专业专任教师</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数（人）</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专任教师与全日制</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在校生人数之比</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1:14.39</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高级职称专任教师</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具有研究生学位</w:t>
            </w: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专任教师比例（%）</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59.26</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具有博士研究生学位专任教师比例（%）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18.52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202</w:t>
            </w:r>
            <w:r>
              <w:rPr>
                <w:rFonts w:hint="eastAsia" w:ascii="Times New Roman" w:hAnsi="Times New Roman" w:eastAsia="仿宋_GB2312" w:cs="Times New Roman"/>
                <w:sz w:val="24"/>
                <w:szCs w:val="24"/>
                <w:highlight w:val="none"/>
                <w:lang w:val="en-US" w:eastAsia="zh-CN"/>
              </w:rPr>
              <w:t>3</w:t>
            </w:r>
            <w:r>
              <w:rPr>
                <w:rFonts w:ascii="Times New Roman" w:hAnsi="Times New Roman" w:eastAsia="仿宋_GB2312" w:cs="Times New Roman"/>
                <w:sz w:val="24"/>
                <w:szCs w:val="24"/>
                <w:highlight w:val="none"/>
              </w:rPr>
              <w:t>年度面向行业企业和社会开展职业</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培训人次</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1266</w:t>
            </w: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202</w:t>
            </w:r>
            <w:r>
              <w:rPr>
                <w:rFonts w:hint="eastAsia" w:ascii="Times New Roman" w:hAnsi="Times New Roman" w:eastAsia="仿宋_GB2312" w:cs="Times New Roman"/>
                <w:sz w:val="24"/>
                <w:szCs w:val="24"/>
                <w:highlight w:val="none"/>
                <w:lang w:val="en-US" w:eastAsia="zh-CN"/>
              </w:rPr>
              <w:t>3</w:t>
            </w:r>
            <w:r>
              <w:rPr>
                <w:rFonts w:ascii="Times New Roman" w:hAnsi="Times New Roman" w:eastAsia="仿宋_GB2312" w:cs="Times New Roman"/>
                <w:sz w:val="24"/>
                <w:szCs w:val="24"/>
                <w:highlight w:val="none"/>
              </w:rPr>
              <w:t>年度招生计划</w:t>
            </w:r>
          </w:p>
          <w:p>
            <w:pPr>
              <w:snapToGrid w:val="0"/>
              <w:jc w:val="center"/>
              <w:rPr>
                <w:rFonts w:ascii="Times New Roman" w:hAnsi="Times New Roman" w:eastAsia="仿宋_GB2312" w:cs="Times New Roman"/>
                <w:sz w:val="24"/>
                <w:szCs w:val="24"/>
                <w:highlight w:val="none"/>
              </w:rPr>
            </w:pPr>
            <w:r>
              <w:rPr>
                <w:rFonts w:ascii="Times New Roman" w:hAnsi="Times New Roman" w:eastAsia="仿宋_GB2312" w:cs="Times New Roman"/>
                <w:sz w:val="24"/>
                <w:szCs w:val="24"/>
                <w:highlight w:val="none"/>
              </w:rPr>
              <w:t>完成率（%）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202</w:t>
            </w:r>
            <w:r>
              <w:rPr>
                <w:rFonts w:hint="eastAsia" w:ascii="Times New Roman" w:hAnsi="Times New Roman" w:eastAsia="仿宋_GB2312" w:cs="Times New Roman"/>
                <w:color w:val="auto"/>
                <w:sz w:val="24"/>
                <w:szCs w:val="24"/>
                <w:highlight w:val="none"/>
                <w:lang w:val="en-US" w:eastAsia="zh-CN"/>
              </w:rPr>
              <w:t>3</w:t>
            </w:r>
            <w:r>
              <w:rPr>
                <w:rFonts w:ascii="Times New Roman" w:hAnsi="Times New Roman" w:eastAsia="仿宋_GB2312" w:cs="Times New Roman"/>
                <w:color w:val="auto"/>
                <w:sz w:val="24"/>
                <w:szCs w:val="24"/>
                <w:highlight w:val="none"/>
              </w:rPr>
              <w:t>年度新生</w:t>
            </w:r>
          </w:p>
          <w:p>
            <w:pPr>
              <w:snapToGrid w:val="0"/>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报到率（%）</w:t>
            </w:r>
          </w:p>
        </w:tc>
        <w:tc>
          <w:tcPr>
            <w:tcW w:w="160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highlight w:val="none"/>
              </w:rPr>
            </w:pPr>
          </w:p>
          <w:p>
            <w:pPr>
              <w:pStyle w:val="11"/>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100</w:t>
            </w:r>
          </w:p>
          <w:p>
            <w:pPr>
              <w:pStyle w:val="11"/>
              <w:jc w:val="center"/>
              <w:rPr>
                <w:rFonts w:ascii="Times New Roman" w:hAnsi="Times New Roman" w:eastAsia="仿宋_GB2312" w:cs="Times New Roman"/>
                <w:color w:val="auto"/>
                <w:sz w:val="24"/>
                <w:szCs w:val="24"/>
                <w:highlight w:val="none"/>
              </w:rPr>
            </w:pPr>
          </w:p>
        </w:tc>
        <w:tc>
          <w:tcPr>
            <w:tcW w:w="264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202</w:t>
            </w:r>
            <w:r>
              <w:rPr>
                <w:rFonts w:hint="eastAsia" w:ascii="Times New Roman" w:hAnsi="Times New Roman" w:eastAsia="仿宋_GB2312" w:cs="Times New Roman"/>
                <w:color w:val="auto"/>
                <w:sz w:val="24"/>
                <w:szCs w:val="24"/>
                <w:highlight w:val="none"/>
                <w:lang w:val="en-US" w:eastAsia="zh-CN"/>
              </w:rPr>
              <w:t>3</w:t>
            </w:r>
            <w:r>
              <w:rPr>
                <w:rFonts w:ascii="Times New Roman" w:hAnsi="Times New Roman" w:eastAsia="仿宋_GB2312" w:cs="Times New Roman"/>
                <w:color w:val="auto"/>
                <w:sz w:val="24"/>
                <w:szCs w:val="24"/>
                <w:highlight w:val="none"/>
              </w:rPr>
              <w:t>年度应届生</w:t>
            </w:r>
          </w:p>
          <w:p>
            <w:pPr>
              <w:snapToGrid w:val="0"/>
              <w:jc w:val="center"/>
              <w:rPr>
                <w:rFonts w:ascii="Times New Roman" w:hAnsi="Times New Roman" w:eastAsia="仿宋_GB2312" w:cs="Times New Roman"/>
                <w:color w:val="auto"/>
                <w:sz w:val="24"/>
                <w:szCs w:val="24"/>
                <w:highlight w:val="none"/>
              </w:rPr>
            </w:pPr>
            <w:r>
              <w:rPr>
                <w:rFonts w:ascii="Times New Roman" w:hAnsi="Times New Roman" w:eastAsia="仿宋_GB2312" w:cs="Times New Roman"/>
                <w:color w:val="auto"/>
                <w:sz w:val="24"/>
                <w:szCs w:val="24"/>
                <w:highlight w:val="none"/>
              </w:rPr>
              <w:t>就业率（%）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color w:val="auto"/>
                <w:sz w:val="24"/>
                <w:szCs w:val="24"/>
                <w:highlight w:val="none"/>
                <w:lang w:val="en-US" w:eastAsia="zh-CN"/>
              </w:rPr>
            </w:pPr>
            <w:r>
              <w:rPr>
                <w:rFonts w:hint="eastAsia" w:ascii="Times New Roman" w:hAnsi="Times New Roman" w:eastAsia="仿宋_GB2312" w:cs="Times New Roman"/>
                <w:color w:val="auto"/>
                <w:sz w:val="24"/>
                <w:szCs w:val="24"/>
                <w:highlight w:val="none"/>
                <w:lang w:val="en-US" w:eastAsia="zh-CN"/>
              </w:rPr>
              <w:t>85.98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88" w:type="dxa"/>
            <w:vAlign w:val="center"/>
          </w:tcPr>
          <w:p>
            <w:pPr>
              <w:snapToGrid w:val="0"/>
              <w:jc w:val="center"/>
              <w:rPr>
                <w:rFonts w:ascii="Times New Roman" w:hAnsi="Times New Roman" w:eastAsia="方正仿宋简体" w:cs="Times New Roman"/>
                <w:color w:val="auto"/>
                <w:sz w:val="24"/>
                <w:szCs w:val="24"/>
              </w:rPr>
            </w:pPr>
            <w:r>
              <w:rPr>
                <w:rFonts w:ascii="Times New Roman" w:hAnsi="Times New Roman" w:eastAsia="仿宋_GB2312" w:cs="Times New Roman"/>
                <w:color w:val="auto"/>
                <w:position w:val="6"/>
                <w:sz w:val="24"/>
                <w:szCs w:val="24"/>
              </w:rPr>
              <w:t>拟招生专业设置可行性</w:t>
            </w:r>
          </w:p>
        </w:tc>
        <w:tc>
          <w:tcPr>
            <w:tcW w:w="7844" w:type="dxa"/>
            <w:gridSpan w:val="4"/>
          </w:tcPr>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一、行业/企业调研分析</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随着我国经济的持续增长和社会整体经济水平的提升，</w:t>
            </w:r>
            <w:r>
              <w:rPr>
                <w:rFonts w:hint="eastAsia" w:ascii="仿宋" w:hAnsi="仿宋" w:eastAsia="仿宋" w:cs="仿宋_GB2312"/>
                <w:color w:val="auto"/>
                <w:sz w:val="28"/>
                <w:szCs w:val="28"/>
                <w:highlight w:val="none"/>
                <w:lang w:eastAsia="zh-CN"/>
              </w:rPr>
              <w:t>电气工程领域</w:t>
            </w:r>
            <w:r>
              <w:rPr>
                <w:rFonts w:hint="eastAsia" w:ascii="仿宋" w:hAnsi="仿宋" w:eastAsia="仿宋" w:cs="仿宋_GB2312"/>
                <w:color w:val="auto"/>
                <w:sz w:val="28"/>
                <w:szCs w:val="28"/>
                <w:highlight w:val="none"/>
              </w:rPr>
              <w:t>行业逐步渗透</w:t>
            </w:r>
            <w:r>
              <w:rPr>
                <w:rFonts w:hint="eastAsia" w:ascii="仿宋" w:hAnsi="仿宋" w:eastAsia="仿宋" w:cs="仿宋_GB2312"/>
                <w:color w:val="auto"/>
                <w:sz w:val="28"/>
                <w:szCs w:val="28"/>
                <w:highlight w:val="none"/>
                <w:lang w:val="en-US" w:eastAsia="zh-CN"/>
              </w:rPr>
              <w:t>到</w:t>
            </w:r>
            <w:r>
              <w:rPr>
                <w:rFonts w:hint="eastAsia" w:ascii="仿宋" w:hAnsi="仿宋" w:eastAsia="仿宋" w:cs="仿宋_GB2312"/>
                <w:color w:val="auto"/>
                <w:sz w:val="28"/>
                <w:szCs w:val="28"/>
                <w:highlight w:val="none"/>
              </w:rPr>
              <w:t>各行各业，为各个领域的高效、高质量发展提供了</w:t>
            </w:r>
            <w:r>
              <w:rPr>
                <w:rFonts w:hint="eastAsia" w:ascii="仿宋" w:hAnsi="仿宋" w:eastAsia="仿宋" w:cs="仿宋_GB2312"/>
                <w:color w:val="auto"/>
                <w:sz w:val="28"/>
                <w:szCs w:val="28"/>
                <w:highlight w:val="none"/>
                <w:lang w:val="en-US" w:eastAsia="zh-CN"/>
              </w:rPr>
              <w:t>坚实的基础</w:t>
            </w:r>
            <w:r>
              <w:rPr>
                <w:rFonts w:hint="eastAsia" w:ascii="仿宋" w:hAnsi="仿宋" w:eastAsia="仿宋" w:cs="仿宋_GB2312"/>
                <w:color w:val="auto"/>
                <w:sz w:val="28"/>
                <w:szCs w:val="28"/>
                <w:highlight w:val="none"/>
              </w:rPr>
              <w:t>。在市场方面，根据前瞻产业研究院的报告，预计到2023年，中国电力自动化行业市场规模将达到1.8万亿元。这进一步证明了该行业的发展潜力和巨大商机。电气工程及自动化专业人才的就业市场在不断扩大，为适应市场经济</w:t>
            </w:r>
            <w:r>
              <w:rPr>
                <w:rFonts w:hint="eastAsia" w:ascii="仿宋" w:hAnsi="仿宋" w:eastAsia="仿宋" w:cs="仿宋_GB2312"/>
                <w:color w:val="auto"/>
                <w:sz w:val="28"/>
                <w:szCs w:val="28"/>
                <w:highlight w:val="none"/>
                <w:lang w:val="en-US" w:eastAsia="zh-CN"/>
              </w:rPr>
              <w:t>快速</w:t>
            </w:r>
            <w:r>
              <w:rPr>
                <w:rFonts w:hint="eastAsia" w:ascii="仿宋" w:hAnsi="仿宋" w:eastAsia="仿宋" w:cs="仿宋_GB2312"/>
                <w:color w:val="auto"/>
                <w:sz w:val="28"/>
                <w:szCs w:val="28"/>
                <w:highlight w:val="none"/>
              </w:rPr>
              <w:t>发展</w:t>
            </w:r>
            <w:r>
              <w:rPr>
                <w:rFonts w:hint="eastAsia" w:ascii="仿宋" w:hAnsi="仿宋" w:eastAsia="仿宋" w:cs="仿宋_GB2312"/>
                <w:color w:val="auto"/>
                <w:sz w:val="28"/>
                <w:szCs w:val="28"/>
                <w:highlight w:val="none"/>
                <w:lang w:val="en-US" w:eastAsia="zh-CN"/>
              </w:rPr>
              <w:t>的需要</w:t>
            </w:r>
            <w:r>
              <w:rPr>
                <w:rFonts w:hint="eastAsia" w:ascii="仿宋" w:hAnsi="仿宋" w:eastAsia="仿宋" w:cs="仿宋_GB2312"/>
                <w:color w:val="auto"/>
                <w:sz w:val="28"/>
                <w:szCs w:val="28"/>
                <w:highlight w:val="none"/>
              </w:rPr>
              <w:t>，满足</w:t>
            </w:r>
            <w:r>
              <w:rPr>
                <w:rFonts w:hint="eastAsia" w:ascii="仿宋" w:hAnsi="仿宋" w:eastAsia="仿宋" w:cs="仿宋_GB2312"/>
                <w:color w:val="auto"/>
                <w:sz w:val="28"/>
                <w:szCs w:val="28"/>
                <w:highlight w:val="none"/>
                <w:lang w:val="en-US" w:eastAsia="zh-CN"/>
              </w:rPr>
              <w:t>各行各</w:t>
            </w:r>
            <w:r>
              <w:rPr>
                <w:rFonts w:hint="eastAsia" w:ascii="仿宋" w:hAnsi="仿宋" w:eastAsia="仿宋" w:cs="仿宋_GB2312"/>
                <w:color w:val="auto"/>
                <w:sz w:val="28"/>
                <w:szCs w:val="28"/>
                <w:highlight w:val="none"/>
              </w:rPr>
              <w:t>业</w:t>
            </w:r>
            <w:r>
              <w:rPr>
                <w:rFonts w:hint="eastAsia" w:ascii="仿宋" w:hAnsi="仿宋" w:eastAsia="仿宋" w:cs="仿宋_GB2312"/>
                <w:color w:val="auto"/>
                <w:sz w:val="28"/>
                <w:szCs w:val="28"/>
                <w:highlight w:val="none"/>
                <w:lang w:val="en-US" w:eastAsia="zh-CN"/>
              </w:rPr>
              <w:t>对</w:t>
            </w:r>
            <w:r>
              <w:rPr>
                <w:rFonts w:hint="eastAsia" w:ascii="仿宋" w:hAnsi="仿宋" w:eastAsia="仿宋" w:cs="仿宋_GB2312"/>
                <w:color w:val="auto"/>
                <w:sz w:val="28"/>
                <w:szCs w:val="28"/>
                <w:highlight w:val="none"/>
              </w:rPr>
              <w:t>高层次</w:t>
            </w:r>
            <w:r>
              <w:rPr>
                <w:rFonts w:hint="eastAsia" w:ascii="仿宋" w:hAnsi="仿宋" w:eastAsia="仿宋" w:cs="仿宋_GB2312"/>
                <w:color w:val="auto"/>
                <w:sz w:val="28"/>
                <w:szCs w:val="28"/>
                <w:highlight w:val="none"/>
                <w:lang w:val="en-US" w:eastAsia="zh-CN"/>
              </w:rPr>
              <w:t>电气</w:t>
            </w:r>
            <w:r>
              <w:rPr>
                <w:rFonts w:hint="eastAsia" w:ascii="仿宋" w:hAnsi="仿宋" w:eastAsia="仿宋" w:cs="仿宋_GB2312"/>
                <w:color w:val="auto"/>
                <w:sz w:val="28"/>
                <w:szCs w:val="28"/>
                <w:highlight w:val="none"/>
              </w:rPr>
              <w:t>技术技能人才</w:t>
            </w:r>
            <w:r>
              <w:rPr>
                <w:rFonts w:hint="eastAsia" w:ascii="仿宋" w:hAnsi="仿宋" w:eastAsia="仿宋" w:cs="仿宋_GB2312"/>
                <w:color w:val="auto"/>
                <w:sz w:val="28"/>
                <w:szCs w:val="28"/>
                <w:highlight w:val="none"/>
                <w:lang w:val="en-US" w:eastAsia="zh-CN"/>
              </w:rPr>
              <w:t>的</w:t>
            </w:r>
            <w:r>
              <w:rPr>
                <w:rFonts w:hint="eastAsia" w:ascii="仿宋" w:hAnsi="仿宋" w:eastAsia="仿宋" w:cs="仿宋_GB2312"/>
                <w:color w:val="auto"/>
                <w:sz w:val="28"/>
                <w:szCs w:val="28"/>
                <w:highlight w:val="none"/>
              </w:rPr>
              <w:t>需求，</w:t>
            </w:r>
            <w:r>
              <w:rPr>
                <w:rFonts w:hint="eastAsia" w:ascii="仿宋" w:hAnsi="仿宋" w:eastAsia="仿宋" w:cs="仿宋_GB2312"/>
                <w:color w:val="auto"/>
                <w:sz w:val="28"/>
                <w:szCs w:val="28"/>
                <w:highlight w:val="none"/>
                <w:lang w:val="en-US" w:eastAsia="zh-CN"/>
              </w:rPr>
              <w:t>学校</w:t>
            </w:r>
            <w:r>
              <w:rPr>
                <w:rFonts w:hint="eastAsia" w:ascii="仿宋" w:hAnsi="仿宋" w:eastAsia="仿宋" w:cs="仿宋_GB2312"/>
                <w:color w:val="auto"/>
                <w:sz w:val="28"/>
                <w:szCs w:val="28"/>
                <w:highlight w:val="none"/>
              </w:rPr>
              <w:t>急需培养一大批</w:t>
            </w:r>
            <w:r>
              <w:rPr>
                <w:rFonts w:hint="eastAsia" w:ascii="仿宋" w:hAnsi="仿宋" w:eastAsia="仿宋" w:cs="仿宋_GB2312"/>
                <w:color w:val="auto"/>
                <w:sz w:val="28"/>
                <w:szCs w:val="28"/>
                <w:highlight w:val="none"/>
                <w:lang w:eastAsia="zh-CN"/>
              </w:rPr>
              <w:t>电气工程及自动化</w:t>
            </w:r>
            <w:r>
              <w:rPr>
                <w:rFonts w:hint="eastAsia" w:ascii="仿宋" w:hAnsi="仿宋" w:eastAsia="仿宋" w:cs="仿宋_GB2312"/>
                <w:color w:val="auto"/>
                <w:sz w:val="28"/>
                <w:szCs w:val="28"/>
                <w:highlight w:val="none"/>
              </w:rPr>
              <w:t>领域的高层次技术技能人才。</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lang w:val="en-US" w:eastAsia="zh-CN"/>
              </w:rPr>
              <w:t>二、</w:t>
            </w:r>
            <w:r>
              <w:rPr>
                <w:rFonts w:hint="eastAsia" w:ascii="仿宋" w:hAnsi="仿宋" w:eastAsia="仿宋" w:cs="仿宋_GB2312"/>
                <w:color w:val="auto"/>
                <w:sz w:val="28"/>
                <w:szCs w:val="28"/>
                <w:highlight w:val="none"/>
              </w:rPr>
              <w:t>人才供给情况分析</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lang w:val="en-US" w:eastAsia="zh-CN"/>
              </w:rPr>
            </w:pPr>
            <w:r>
              <w:rPr>
                <w:rFonts w:hint="eastAsia" w:ascii="仿宋" w:hAnsi="仿宋" w:eastAsia="仿宋" w:cs="仿宋_GB2312"/>
                <w:color w:val="auto"/>
                <w:sz w:val="28"/>
                <w:szCs w:val="28"/>
                <w:highlight w:val="none"/>
              </w:rPr>
              <w:t>据不完全统计，20</w:t>
            </w:r>
            <w:r>
              <w:rPr>
                <w:rFonts w:hint="eastAsia" w:ascii="仿宋" w:hAnsi="仿宋" w:eastAsia="仿宋" w:cs="仿宋_GB2312"/>
                <w:color w:val="auto"/>
                <w:sz w:val="28"/>
                <w:szCs w:val="28"/>
                <w:highlight w:val="none"/>
                <w:lang w:val="en-US" w:eastAsia="zh-CN"/>
              </w:rPr>
              <w:t>22</w:t>
            </w:r>
            <w:r>
              <w:rPr>
                <w:rFonts w:hint="eastAsia" w:ascii="仿宋" w:hAnsi="仿宋" w:eastAsia="仿宋" w:cs="仿宋_GB2312"/>
                <w:color w:val="auto"/>
                <w:sz w:val="28"/>
                <w:szCs w:val="28"/>
                <w:highlight w:val="none"/>
              </w:rPr>
              <w:t>年全国普通高校电气工程及自动化专业毕业生规模在</w:t>
            </w:r>
            <w:r>
              <w:rPr>
                <w:rFonts w:hint="eastAsia" w:ascii="仿宋" w:hAnsi="仿宋" w:eastAsia="仿宋" w:cs="仿宋_GB2312"/>
                <w:color w:val="auto"/>
                <w:sz w:val="28"/>
                <w:szCs w:val="28"/>
                <w:highlight w:val="none"/>
                <w:lang w:val="en-US" w:eastAsia="zh-CN"/>
              </w:rPr>
              <w:t>9.5</w:t>
            </w:r>
            <w:r>
              <w:rPr>
                <w:rFonts w:hint="eastAsia" w:ascii="仿宋" w:hAnsi="仿宋" w:eastAsia="仿宋" w:cs="仿宋_GB2312"/>
                <w:color w:val="auto"/>
                <w:sz w:val="28"/>
                <w:szCs w:val="28"/>
                <w:highlight w:val="none"/>
              </w:rPr>
              <w:t>万至</w:t>
            </w:r>
            <w:r>
              <w:rPr>
                <w:rFonts w:hint="eastAsia" w:ascii="仿宋" w:hAnsi="仿宋" w:eastAsia="仿宋" w:cs="仿宋_GB2312"/>
                <w:color w:val="auto"/>
                <w:sz w:val="28"/>
                <w:szCs w:val="28"/>
                <w:highlight w:val="none"/>
                <w:lang w:val="en-US" w:eastAsia="zh-CN"/>
              </w:rPr>
              <w:t>10</w:t>
            </w:r>
            <w:r>
              <w:rPr>
                <w:rFonts w:hint="eastAsia" w:ascii="仿宋" w:hAnsi="仿宋" w:eastAsia="仿宋" w:cs="仿宋_GB2312"/>
                <w:color w:val="auto"/>
                <w:sz w:val="28"/>
                <w:szCs w:val="28"/>
                <w:highlight w:val="none"/>
              </w:rPr>
              <w:t>万人。</w:t>
            </w:r>
            <w:r>
              <w:rPr>
                <w:rFonts w:hint="eastAsia" w:ascii="仿宋" w:hAnsi="仿宋" w:eastAsia="仿宋" w:cs="仿宋_GB2312"/>
                <w:color w:val="auto"/>
                <w:sz w:val="28"/>
                <w:szCs w:val="28"/>
                <w:highlight w:val="none"/>
                <w:lang w:eastAsia="zh-CN"/>
              </w:rPr>
              <w:t>根据</w:t>
            </w:r>
            <w:r>
              <w:rPr>
                <w:rFonts w:hint="eastAsia" w:ascii="仿宋" w:hAnsi="仿宋" w:eastAsia="仿宋" w:cs="仿宋_GB2312"/>
                <w:color w:val="auto"/>
                <w:sz w:val="28"/>
                <w:szCs w:val="28"/>
                <w:highlight w:val="none"/>
              </w:rPr>
              <w:t>教育部印发的《制造业人才发展规划指南》得知，我国电力装备行业到2025年人才缺口将达909万，</w:t>
            </w:r>
            <w:r>
              <w:rPr>
                <w:rFonts w:hint="eastAsia" w:ascii="仿宋" w:hAnsi="仿宋" w:eastAsia="仿宋" w:cs="仿宋_GB2312"/>
                <w:color w:val="auto"/>
                <w:sz w:val="28"/>
                <w:szCs w:val="28"/>
                <w:highlight w:val="none"/>
                <w:lang w:eastAsia="zh-CN"/>
              </w:rPr>
              <w:t>电气工程及自动化</w:t>
            </w:r>
            <w:r>
              <w:rPr>
                <w:rFonts w:hint="eastAsia" w:ascii="仿宋" w:hAnsi="仿宋" w:eastAsia="仿宋" w:cs="仿宋_GB2312"/>
                <w:color w:val="auto"/>
                <w:sz w:val="28"/>
                <w:szCs w:val="28"/>
                <w:highlight w:val="none"/>
              </w:rPr>
              <w:t>领域</w:t>
            </w:r>
            <w:r>
              <w:rPr>
                <w:rFonts w:hint="eastAsia" w:ascii="仿宋" w:hAnsi="仿宋" w:eastAsia="仿宋" w:cs="仿宋_GB2312"/>
                <w:color w:val="auto"/>
                <w:sz w:val="28"/>
                <w:szCs w:val="28"/>
                <w:highlight w:val="none"/>
                <w:lang w:eastAsia="zh-CN"/>
              </w:rPr>
              <w:t>技术技能</w:t>
            </w:r>
            <w:r>
              <w:rPr>
                <w:rFonts w:hint="eastAsia" w:ascii="仿宋" w:hAnsi="仿宋" w:eastAsia="仿宋" w:cs="仿宋_GB2312"/>
                <w:color w:val="auto"/>
                <w:sz w:val="28"/>
                <w:szCs w:val="28"/>
                <w:highlight w:val="none"/>
              </w:rPr>
              <w:t>人才</w:t>
            </w:r>
            <w:r>
              <w:rPr>
                <w:rFonts w:hint="eastAsia" w:ascii="仿宋" w:hAnsi="仿宋" w:eastAsia="仿宋" w:cs="仿宋_GB2312"/>
                <w:color w:val="auto"/>
                <w:sz w:val="28"/>
                <w:szCs w:val="28"/>
                <w:highlight w:val="none"/>
                <w:lang w:val="en-US" w:eastAsia="zh-CN"/>
              </w:rPr>
              <w:t>的需求逐年上升。</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lang w:val="en-US" w:eastAsia="zh-CN"/>
              </w:rPr>
            </w:pPr>
            <w:r>
              <w:rPr>
                <w:rFonts w:hint="eastAsia" w:ascii="仿宋" w:hAnsi="仿宋" w:eastAsia="仿宋" w:cs="仿宋_GB2312"/>
                <w:color w:val="auto"/>
                <w:sz w:val="28"/>
                <w:szCs w:val="28"/>
                <w:highlight w:val="none"/>
                <w:lang w:val="en-US" w:eastAsia="zh-CN"/>
              </w:rPr>
              <w:t>三、办学基础和专业特色</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lang w:val="en-US" w:eastAsia="zh-CN"/>
              </w:rPr>
            </w:pPr>
            <w:r>
              <w:rPr>
                <w:rFonts w:hint="eastAsia" w:ascii="仿宋" w:hAnsi="仿宋" w:eastAsia="仿宋" w:cs="仿宋_GB2312"/>
                <w:color w:val="auto"/>
                <w:sz w:val="28"/>
                <w:szCs w:val="28"/>
                <w:highlight w:val="none"/>
                <w:lang w:val="en-US" w:eastAsia="zh-CN"/>
              </w:rPr>
              <w:t>（一）坚实的办学基础</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lang w:val="en-US" w:eastAsia="zh-CN"/>
              </w:rPr>
            </w:pPr>
            <w:r>
              <w:rPr>
                <w:rFonts w:hint="eastAsia" w:ascii="仿宋" w:hAnsi="仿宋" w:eastAsia="仿宋" w:cs="仿宋_GB2312"/>
                <w:color w:val="auto"/>
                <w:sz w:val="28"/>
                <w:szCs w:val="28"/>
                <w:highlight w:val="none"/>
                <w:lang w:val="en-US" w:eastAsia="zh-CN"/>
              </w:rPr>
              <w:t>所依托专科专业电气自动化技术于2010年9月设置招生，现有在校生446人，本专业目前已建有工业机器人应用人才培养中心、智能加工实训中心等校内实验实训室，生均教学科研仪器设备值2.01万余元。该专业与广西汽车集团有限公司、东莞道元自动化有限公司等7个企业共建了校外实习实训基地，建立了稳定的供学生实习、实训基地。</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lang w:val="en-US" w:eastAsia="zh-CN"/>
              </w:rPr>
            </w:pPr>
            <w:r>
              <w:rPr>
                <w:rFonts w:hint="eastAsia" w:ascii="仿宋" w:hAnsi="仿宋" w:eastAsia="仿宋" w:cs="仿宋_GB2312"/>
                <w:color w:val="auto"/>
                <w:sz w:val="28"/>
                <w:szCs w:val="28"/>
                <w:highlight w:val="none"/>
                <w:lang w:val="en-US" w:eastAsia="zh-CN"/>
              </w:rPr>
              <w:t>2019年，电气自动化技术专业获批自治区职业教育示范特色专业及实训基地，2023年，我校智能制造产业学院获批广西第二批高等职业教育示范性产业学院。上述条件为我校设置本科“电气工程及自动化”专业提供了坚实的保障。</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（二）鲜明的专业特色</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本专业</w:t>
            </w:r>
            <w:r>
              <w:rPr>
                <w:rFonts w:hint="eastAsia" w:ascii="仿宋" w:hAnsi="仿宋" w:eastAsia="仿宋" w:cs="仿宋_GB2312"/>
                <w:color w:val="auto"/>
                <w:sz w:val="28"/>
                <w:szCs w:val="28"/>
                <w:highlight w:val="none"/>
                <w:lang w:eastAsia="zh-CN"/>
              </w:rPr>
              <w:t>依托</w:t>
            </w:r>
            <w:r>
              <w:rPr>
                <w:rFonts w:hint="eastAsia" w:ascii="仿宋" w:hAnsi="仿宋" w:eastAsia="仿宋" w:cs="仿宋_GB2312"/>
                <w:color w:val="auto"/>
                <w:sz w:val="28"/>
                <w:szCs w:val="28"/>
                <w:highlight w:val="none"/>
              </w:rPr>
              <w:t>我校广西智能制造职业教育集团</w:t>
            </w:r>
            <w:r>
              <w:rPr>
                <w:rFonts w:hint="eastAsia" w:ascii="仿宋" w:hAnsi="仿宋" w:eastAsia="仿宋" w:cs="仿宋_GB2312"/>
                <w:color w:val="auto"/>
                <w:sz w:val="28"/>
                <w:szCs w:val="28"/>
                <w:highlight w:val="none"/>
                <w:lang w:eastAsia="zh-CN"/>
              </w:rPr>
              <w:t>平台</w:t>
            </w:r>
            <w:r>
              <w:rPr>
                <w:rFonts w:hint="eastAsia" w:ascii="仿宋" w:hAnsi="仿宋" w:eastAsia="仿宋" w:cs="仿宋_GB2312"/>
                <w:color w:val="auto"/>
                <w:sz w:val="28"/>
                <w:szCs w:val="28"/>
                <w:highlight w:val="none"/>
              </w:rPr>
              <w:t>，并融合“政、校、企、研、行”之间的优势特色，专业人才培养方案由校企</w:t>
            </w:r>
            <w:r>
              <w:rPr>
                <w:rFonts w:hint="eastAsia" w:ascii="仿宋" w:hAnsi="仿宋" w:eastAsia="仿宋" w:cs="仿宋_GB2312"/>
                <w:color w:val="auto"/>
                <w:sz w:val="28"/>
                <w:szCs w:val="28"/>
                <w:highlight w:val="none"/>
                <w:lang w:val="en-US" w:eastAsia="zh-CN"/>
              </w:rPr>
              <w:t>双方</w:t>
            </w:r>
            <w:r>
              <w:rPr>
                <w:rFonts w:hint="eastAsia" w:ascii="仿宋" w:hAnsi="仿宋" w:eastAsia="仿宋" w:cs="仿宋_GB2312"/>
                <w:color w:val="auto"/>
                <w:sz w:val="28"/>
                <w:szCs w:val="28"/>
                <w:highlight w:val="none"/>
              </w:rPr>
              <w:t>共同制定，积极探索和运用订单培养、工学交替、顶岗实习等有效模式，开展教学活动。</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四、保障措施及相关制度</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lang w:val="en-US" w:eastAsia="zh-CN"/>
              </w:rPr>
            </w:pPr>
            <w:r>
              <w:rPr>
                <w:rFonts w:hint="eastAsia" w:ascii="仿宋" w:hAnsi="仿宋" w:eastAsia="仿宋" w:cs="仿宋_GB2312"/>
                <w:color w:val="auto"/>
                <w:sz w:val="28"/>
                <w:szCs w:val="28"/>
                <w:highlight w:val="none"/>
                <w:lang w:val="en-US" w:eastAsia="zh-CN"/>
              </w:rPr>
              <w:t>1.成立项目建设工作领导小组、项目工作组两级机构。领导小组对专业建设目标、任务、内容、资金筹措、建设经费分配等重大事项进行审定和决策。项目工作组负责专业建设项目的具体组织管理和日常事务；对建设项目的全过程进行监控、指导、监测和考核；确保建设专项资金规范使用。</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lang w:val="en-US" w:eastAsia="zh-CN"/>
              </w:rPr>
            </w:pPr>
            <w:r>
              <w:rPr>
                <w:rFonts w:hint="eastAsia" w:ascii="仿宋" w:hAnsi="仿宋" w:eastAsia="仿宋" w:cs="仿宋_GB2312"/>
                <w:color w:val="auto"/>
                <w:sz w:val="28"/>
                <w:szCs w:val="28"/>
                <w:highlight w:val="none"/>
                <w:lang w:val="en-US" w:eastAsia="zh-CN"/>
              </w:rPr>
              <w:t>2.加强团队建设工作的咨询指导、业务培训、绩效评价和监督检查，目前已建有一套完整、科学的教学管理规章制度和监控体系，为新专业建设工作的有效开展和顺利完成提供了制度保障。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88"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教师队伍</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情况要点</w:t>
            </w:r>
          </w:p>
        </w:tc>
        <w:tc>
          <w:tcPr>
            <w:tcW w:w="7844" w:type="dxa"/>
            <w:gridSpan w:val="4"/>
          </w:tcPr>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lang w:val="en-US" w:eastAsia="zh-CN"/>
              </w:rPr>
            </w:pPr>
            <w:r>
              <w:rPr>
                <w:rFonts w:hint="eastAsia" w:ascii="仿宋" w:hAnsi="仿宋" w:eastAsia="仿宋" w:cs="仿宋_GB2312"/>
                <w:color w:val="auto"/>
                <w:sz w:val="28"/>
                <w:szCs w:val="28"/>
                <w:highlight w:val="none"/>
                <w:lang w:val="en-US" w:eastAsia="zh-CN"/>
              </w:rPr>
              <w:t>一、所依托专业专任教师与学生人数之比为1:14.39，高级职称专任教师比例为55.56%，具有研究生学位专任教师比例为59.26%，具有博士研究生学位专任教师比例为18.52%。师资结构合理，符合设置本科层次专业所必需的教师队伍。</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lang w:val="en-US" w:eastAsia="zh-CN"/>
              </w:rPr>
              <w:t>二、</w:t>
            </w:r>
            <w:r>
              <w:rPr>
                <w:rFonts w:hint="eastAsia" w:ascii="仿宋" w:hAnsi="仿宋" w:eastAsia="仿宋" w:cs="仿宋_GB2312"/>
                <w:color w:val="auto"/>
                <w:sz w:val="28"/>
                <w:szCs w:val="28"/>
                <w:highlight w:val="none"/>
                <w:lang w:eastAsia="zh-CN"/>
              </w:rPr>
              <w:t>拟设置的本专业专任教师中，“双师型”教师占比</w:t>
            </w:r>
            <w:r>
              <w:rPr>
                <w:rFonts w:hint="eastAsia" w:ascii="仿宋" w:hAnsi="仿宋" w:eastAsia="仿宋" w:cs="仿宋_GB2312"/>
                <w:color w:val="auto"/>
                <w:sz w:val="28"/>
                <w:szCs w:val="28"/>
                <w:highlight w:val="none"/>
                <w:lang w:val="en-US" w:eastAsia="zh-CN"/>
              </w:rPr>
              <w:t>70.37%，</w:t>
            </w:r>
            <w:r>
              <w:rPr>
                <w:rFonts w:hint="eastAsia" w:ascii="仿宋" w:hAnsi="仿宋" w:eastAsia="仿宋" w:cs="仿宋_GB2312"/>
                <w:color w:val="auto"/>
                <w:sz w:val="28"/>
                <w:szCs w:val="28"/>
                <w:highlight w:val="none"/>
              </w:rPr>
              <w:t>校企合作企业一线的兼职教师承担专业基础、核心课程教学任务，授课课时达专业课总课时的</w:t>
            </w:r>
            <w:r>
              <w:rPr>
                <w:rFonts w:hint="eastAsia" w:ascii="仿宋" w:hAnsi="仿宋" w:eastAsia="仿宋" w:cs="仿宋_GB2312"/>
                <w:color w:val="auto"/>
                <w:sz w:val="28"/>
                <w:szCs w:val="28"/>
                <w:highlight w:val="none"/>
                <w:lang w:val="en-US" w:eastAsia="zh-CN"/>
              </w:rPr>
              <w:t>25.87</w:t>
            </w:r>
            <w:r>
              <w:rPr>
                <w:rFonts w:hint="eastAsia" w:ascii="仿宋" w:hAnsi="仿宋" w:eastAsia="仿宋" w:cs="仿宋_GB2312"/>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三、本专业骨干教师</w:t>
            </w:r>
            <w:r>
              <w:rPr>
                <w:rFonts w:hint="eastAsia" w:ascii="仿宋" w:hAnsi="仿宋" w:eastAsia="仿宋" w:cs="仿宋_GB2312"/>
                <w:color w:val="auto"/>
                <w:sz w:val="28"/>
                <w:szCs w:val="28"/>
                <w:highlight w:val="none"/>
                <w:lang w:val="en-US" w:eastAsia="zh-CN"/>
              </w:rPr>
              <w:t>均</w:t>
            </w:r>
            <w:r>
              <w:rPr>
                <w:rFonts w:hint="eastAsia" w:ascii="仿宋" w:hAnsi="仿宋" w:eastAsia="仿宋" w:cs="仿宋_GB2312"/>
                <w:color w:val="auto"/>
                <w:sz w:val="28"/>
                <w:szCs w:val="28"/>
                <w:highlight w:val="none"/>
              </w:rPr>
              <w:t>来自于电气、自动化、机器人等多个相关专业，覆盖了专业课程教学主要领域；</w:t>
            </w:r>
            <w:r>
              <w:rPr>
                <w:rFonts w:hint="eastAsia" w:ascii="仿宋" w:hAnsi="仿宋" w:eastAsia="仿宋" w:cs="仿宋_GB2312"/>
                <w:color w:val="auto"/>
                <w:sz w:val="28"/>
                <w:szCs w:val="28"/>
                <w:highlight w:val="none"/>
                <w:lang w:eastAsia="zh-CN"/>
              </w:rPr>
              <w:t>专业教师获省级及以上教学领域有关奖励</w:t>
            </w:r>
            <w:r>
              <w:rPr>
                <w:rFonts w:hint="eastAsia" w:ascii="仿宋" w:hAnsi="仿宋" w:eastAsia="仿宋" w:cs="仿宋_GB2312"/>
                <w:color w:val="auto"/>
                <w:sz w:val="28"/>
                <w:szCs w:val="28"/>
                <w:highlight w:val="none"/>
                <w:lang w:val="en-US" w:eastAsia="zh-CN"/>
              </w:rPr>
              <w:t>16项。</w:t>
            </w:r>
            <w:r>
              <w:rPr>
                <w:rFonts w:hint="eastAsia" w:ascii="仿宋" w:hAnsi="仿宋" w:eastAsia="仿宋" w:cs="仿宋_GB2312"/>
                <w:color w:val="auto"/>
                <w:sz w:val="28"/>
                <w:szCs w:val="28"/>
                <w:highlight w:val="none"/>
                <w:lang w:eastAsia="zh-CN"/>
              </w:rPr>
              <w:t>近年来，</w:t>
            </w:r>
            <w:r>
              <w:rPr>
                <w:rFonts w:hint="eastAsia" w:ascii="仿宋" w:hAnsi="仿宋" w:eastAsia="仿宋" w:cs="仿宋_GB2312"/>
                <w:color w:val="auto"/>
                <w:sz w:val="28"/>
                <w:szCs w:val="28"/>
                <w:highlight w:val="none"/>
              </w:rPr>
              <w:t>教师团队承担区级、校级科研与教改课题共</w:t>
            </w:r>
            <w:r>
              <w:rPr>
                <w:rFonts w:hint="eastAsia" w:ascii="仿宋" w:hAnsi="仿宋" w:eastAsia="仿宋" w:cs="仿宋_GB2312"/>
                <w:color w:val="auto"/>
                <w:sz w:val="28"/>
                <w:szCs w:val="28"/>
                <w:highlight w:val="none"/>
                <w:lang w:val="en-US" w:eastAsia="zh-CN"/>
              </w:rPr>
              <w:t>8</w:t>
            </w:r>
            <w:r>
              <w:rPr>
                <w:rFonts w:hint="eastAsia" w:ascii="仿宋" w:hAnsi="仿宋" w:eastAsia="仿宋" w:cs="仿宋_GB2312"/>
                <w:color w:val="auto"/>
                <w:sz w:val="28"/>
                <w:szCs w:val="28"/>
                <w:highlight w:val="none"/>
              </w:rPr>
              <w:t>项，申报实用新型专利</w:t>
            </w:r>
            <w:r>
              <w:rPr>
                <w:rFonts w:hint="eastAsia" w:ascii="仿宋" w:hAnsi="仿宋" w:eastAsia="仿宋" w:cs="仿宋_GB2312"/>
                <w:color w:val="auto"/>
                <w:sz w:val="28"/>
                <w:szCs w:val="28"/>
                <w:highlight w:val="none"/>
                <w:lang w:val="en-US" w:eastAsia="zh-CN"/>
              </w:rPr>
              <w:t>20</w:t>
            </w:r>
            <w:r>
              <w:rPr>
                <w:rFonts w:hint="eastAsia" w:ascii="仿宋" w:hAnsi="仿宋" w:eastAsia="仿宋" w:cs="仿宋_GB2312"/>
                <w:color w:val="auto"/>
                <w:sz w:val="28"/>
                <w:szCs w:val="28"/>
                <w:highlight w:val="none"/>
              </w:rPr>
              <w:t>项</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lang w:val="en-US" w:eastAsia="zh-CN"/>
              </w:rPr>
              <w:t>外观设计专利1项</w:t>
            </w:r>
            <w:r>
              <w:rPr>
                <w:rFonts w:hint="eastAsia" w:ascii="仿宋" w:hAnsi="仿宋" w:eastAsia="仿宋" w:cs="仿宋_GB2312"/>
                <w:color w:val="auto"/>
                <w:sz w:val="28"/>
                <w:szCs w:val="28"/>
                <w:highlight w:val="none"/>
              </w:rPr>
              <w:t>。指导学生参加电子设计大赛、广西人工智能大赛等技能竞赛，荣获国家级</w:t>
            </w:r>
            <w:r>
              <w:rPr>
                <w:rFonts w:hint="eastAsia" w:ascii="仿宋" w:hAnsi="仿宋" w:eastAsia="仿宋" w:cs="仿宋_GB2312"/>
                <w:color w:val="auto"/>
                <w:sz w:val="28"/>
                <w:szCs w:val="28"/>
                <w:highlight w:val="none"/>
                <w:lang w:eastAsia="zh-CN"/>
              </w:rPr>
              <w:t>一等奖</w:t>
            </w:r>
            <w:r>
              <w:rPr>
                <w:rFonts w:hint="eastAsia" w:ascii="仿宋" w:hAnsi="仿宋" w:eastAsia="仿宋" w:cs="仿宋_GB2312"/>
                <w:color w:val="auto"/>
                <w:sz w:val="28"/>
                <w:szCs w:val="28"/>
                <w:highlight w:val="none"/>
              </w:rPr>
              <w:t>1项</w:t>
            </w:r>
            <w:r>
              <w:rPr>
                <w:rFonts w:hint="eastAsia" w:ascii="仿宋" w:hAnsi="仿宋" w:eastAsia="仿宋" w:cs="仿宋_GB2312"/>
                <w:color w:val="auto"/>
                <w:sz w:val="28"/>
                <w:szCs w:val="28"/>
                <w:highlight w:val="none"/>
                <w:lang w:eastAsia="zh-CN"/>
              </w:rPr>
              <w:t>、三等奖</w:t>
            </w:r>
            <w:r>
              <w:rPr>
                <w:rFonts w:hint="eastAsia" w:ascii="仿宋" w:hAnsi="仿宋" w:eastAsia="仿宋" w:cs="仿宋_GB2312"/>
                <w:color w:val="auto"/>
                <w:sz w:val="28"/>
                <w:szCs w:val="28"/>
                <w:highlight w:val="none"/>
                <w:lang w:val="en-US" w:eastAsia="zh-CN"/>
              </w:rPr>
              <w:t>2项</w:t>
            </w:r>
            <w:r>
              <w:rPr>
                <w:rFonts w:hint="eastAsia" w:ascii="仿宋" w:hAnsi="仿宋" w:eastAsia="仿宋" w:cs="仿宋_GB2312"/>
                <w:color w:val="auto"/>
                <w:sz w:val="28"/>
                <w:szCs w:val="28"/>
                <w:highlight w:val="none"/>
              </w:rPr>
              <w:t>，区级</w:t>
            </w:r>
            <w:r>
              <w:rPr>
                <w:rFonts w:hint="eastAsia" w:ascii="仿宋" w:hAnsi="仿宋" w:eastAsia="仿宋" w:cs="仿宋_GB2312"/>
                <w:color w:val="auto"/>
                <w:sz w:val="28"/>
                <w:szCs w:val="28"/>
                <w:highlight w:val="none"/>
                <w:lang w:eastAsia="zh-CN"/>
              </w:rPr>
              <w:t>特</w:t>
            </w:r>
            <w:r>
              <w:rPr>
                <w:rFonts w:hint="eastAsia" w:ascii="仿宋" w:hAnsi="仿宋" w:eastAsia="仿宋" w:cs="仿宋_GB2312"/>
                <w:color w:val="auto"/>
                <w:sz w:val="28"/>
                <w:szCs w:val="28"/>
                <w:highlight w:val="none"/>
              </w:rPr>
              <w:t>等奖</w:t>
            </w:r>
            <w:r>
              <w:rPr>
                <w:rFonts w:hint="eastAsia" w:ascii="仿宋" w:hAnsi="仿宋" w:eastAsia="仿宋" w:cs="仿宋_GB2312"/>
                <w:color w:val="auto"/>
                <w:sz w:val="28"/>
                <w:szCs w:val="28"/>
                <w:highlight w:val="none"/>
                <w:lang w:val="en-US" w:eastAsia="zh-CN"/>
              </w:rPr>
              <w:t>1</w:t>
            </w:r>
            <w:r>
              <w:rPr>
                <w:rFonts w:hint="eastAsia" w:ascii="仿宋" w:hAnsi="仿宋" w:eastAsia="仿宋" w:cs="仿宋_GB2312"/>
                <w:color w:val="auto"/>
                <w:sz w:val="28"/>
                <w:szCs w:val="28"/>
                <w:highlight w:val="none"/>
              </w:rPr>
              <w:t>项，</w:t>
            </w:r>
            <w:r>
              <w:rPr>
                <w:rFonts w:hint="eastAsia" w:ascii="仿宋" w:hAnsi="仿宋" w:eastAsia="仿宋" w:cs="仿宋_GB2312"/>
                <w:color w:val="auto"/>
                <w:sz w:val="28"/>
                <w:szCs w:val="28"/>
                <w:highlight w:val="none"/>
                <w:lang w:eastAsia="zh-CN"/>
              </w:rPr>
              <w:t>一等奖</w:t>
            </w:r>
            <w:r>
              <w:rPr>
                <w:rFonts w:hint="eastAsia" w:ascii="仿宋" w:hAnsi="仿宋" w:eastAsia="仿宋" w:cs="仿宋_GB2312"/>
                <w:color w:val="auto"/>
                <w:sz w:val="28"/>
                <w:szCs w:val="28"/>
                <w:highlight w:val="none"/>
                <w:lang w:val="en-US" w:eastAsia="zh-CN"/>
              </w:rPr>
              <w:t>1项、</w:t>
            </w:r>
            <w:r>
              <w:rPr>
                <w:rFonts w:hint="eastAsia" w:ascii="仿宋" w:hAnsi="仿宋" w:eastAsia="仿宋" w:cs="仿宋_GB2312"/>
                <w:color w:val="auto"/>
                <w:sz w:val="28"/>
                <w:szCs w:val="28"/>
                <w:highlight w:val="none"/>
              </w:rPr>
              <w:t>二等奖</w:t>
            </w:r>
            <w:r>
              <w:rPr>
                <w:rFonts w:hint="eastAsia" w:ascii="仿宋" w:hAnsi="仿宋" w:eastAsia="仿宋" w:cs="仿宋_GB2312"/>
                <w:color w:val="auto"/>
                <w:sz w:val="28"/>
                <w:szCs w:val="28"/>
                <w:highlight w:val="none"/>
                <w:lang w:val="en-US" w:eastAsia="zh-CN"/>
              </w:rPr>
              <w:t>2</w:t>
            </w:r>
            <w:r>
              <w:rPr>
                <w:rFonts w:hint="eastAsia" w:ascii="仿宋" w:hAnsi="仿宋" w:eastAsia="仿宋" w:cs="仿宋_GB2312"/>
                <w:color w:val="auto"/>
                <w:sz w:val="28"/>
                <w:szCs w:val="28"/>
                <w:highlight w:val="none"/>
              </w:rPr>
              <w:t>项，三等奖</w:t>
            </w:r>
            <w:r>
              <w:rPr>
                <w:rFonts w:hint="eastAsia" w:ascii="仿宋" w:hAnsi="仿宋" w:eastAsia="仿宋" w:cs="仿宋_GB2312"/>
                <w:color w:val="auto"/>
                <w:sz w:val="28"/>
                <w:szCs w:val="28"/>
                <w:highlight w:val="none"/>
                <w:lang w:val="en-US" w:eastAsia="zh-CN"/>
              </w:rPr>
              <w:t>9</w:t>
            </w:r>
            <w:r>
              <w:rPr>
                <w:rFonts w:hint="eastAsia" w:ascii="仿宋" w:hAnsi="仿宋" w:eastAsia="仿宋" w:cs="仿宋_GB2312"/>
                <w:color w:val="auto"/>
                <w:sz w:val="28"/>
                <w:szCs w:val="28"/>
                <w:highlight w:val="none"/>
              </w:rPr>
              <w:t>项。公开发表论文</w:t>
            </w:r>
            <w:r>
              <w:rPr>
                <w:rFonts w:hint="eastAsia" w:ascii="仿宋" w:hAnsi="仿宋" w:eastAsia="仿宋" w:cs="仿宋_GB2312"/>
                <w:color w:val="auto"/>
                <w:sz w:val="28"/>
                <w:szCs w:val="28"/>
                <w:highlight w:val="none"/>
                <w:lang w:val="en-US" w:eastAsia="zh-CN"/>
              </w:rPr>
              <w:t>12</w:t>
            </w:r>
            <w:r>
              <w:rPr>
                <w:rFonts w:hint="eastAsia" w:ascii="仿宋" w:hAnsi="仿宋" w:eastAsia="仿宋" w:cs="仿宋_GB2312"/>
                <w:color w:val="auto"/>
                <w:sz w:val="28"/>
                <w:szCs w:val="28"/>
                <w:highlight w:val="none"/>
              </w:rPr>
              <w:t>余篇，已公开出版教材《工业机器人操作实训指导书》《汽车电工电子》共2</w:t>
            </w:r>
            <w:r>
              <w:rPr>
                <w:rFonts w:hint="eastAsia" w:ascii="仿宋" w:hAnsi="仿宋" w:eastAsia="仿宋" w:cs="仿宋_GB2312"/>
                <w:color w:val="auto"/>
                <w:sz w:val="28"/>
                <w:szCs w:val="28"/>
                <w:highlight w:val="none"/>
                <w:lang w:eastAsia="zh-CN"/>
              </w:rPr>
              <w:t>部</w:t>
            </w:r>
            <w:r>
              <w:rPr>
                <w:rFonts w:hint="eastAsia" w:ascii="仿宋" w:hAnsi="仿宋" w:eastAsia="仿宋" w:cs="仿宋_GB2312"/>
                <w:color w:val="auto"/>
                <w:sz w:val="28"/>
                <w:szCs w:val="28"/>
                <w:highlight w:val="none"/>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lang w:eastAsia="zh-CN"/>
              </w:rPr>
              <w:t>四、</w:t>
            </w:r>
            <w:r>
              <w:rPr>
                <w:rFonts w:hint="eastAsia" w:ascii="仿宋" w:hAnsi="仿宋" w:eastAsia="仿宋" w:cs="仿宋_GB2312"/>
                <w:color w:val="auto"/>
                <w:sz w:val="28"/>
                <w:szCs w:val="28"/>
                <w:highlight w:val="none"/>
              </w:rPr>
              <w:t>电气工程及自动化专业带头人</w:t>
            </w:r>
            <w:r>
              <w:rPr>
                <w:rFonts w:hint="eastAsia" w:ascii="仿宋" w:hAnsi="仿宋" w:eastAsia="仿宋" w:cs="仿宋_GB2312"/>
                <w:color w:val="auto"/>
                <w:sz w:val="28"/>
                <w:szCs w:val="28"/>
                <w:highlight w:val="none"/>
                <w:lang w:eastAsia="zh-CN"/>
              </w:rPr>
              <w:t>李玉琴副</w:t>
            </w:r>
            <w:r>
              <w:rPr>
                <w:rFonts w:hint="eastAsia" w:ascii="仿宋" w:hAnsi="仿宋" w:eastAsia="仿宋" w:cs="仿宋_GB2312"/>
                <w:color w:val="auto"/>
                <w:sz w:val="28"/>
                <w:szCs w:val="28"/>
                <w:highlight w:val="none"/>
              </w:rPr>
              <w:t>教授，主要参与完成电气自动化技术示范特色专业及实训基地建设工作，参与完成了工业机器人应用人才培养中心建设，参与成立广西智能制造职业教育集团建设等工作。作为主编出版工程专业技术类教材一部《机器人操控实训指导书》，参与编写并出版教材《汽车电工电子》。指导学生参加自治区级大学生创新创业训练计划立项项目，获批3项。指导学生参加各类学科竞赛并获省部级以上奖励9</w:t>
            </w:r>
            <w:r>
              <w:rPr>
                <w:rFonts w:hint="eastAsia" w:ascii="仿宋" w:hAnsi="仿宋" w:eastAsia="仿宋" w:cs="仿宋_GB2312"/>
                <w:color w:val="auto"/>
                <w:sz w:val="28"/>
                <w:szCs w:val="28"/>
                <w:highlight w:val="none"/>
                <w:lang w:val="en-US" w:eastAsia="zh-CN"/>
              </w:rPr>
              <w:t>个</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rPr>
              <w:t>如指导学生</w:t>
            </w:r>
            <w:r>
              <w:rPr>
                <w:rFonts w:hint="eastAsia" w:ascii="仿宋" w:hAnsi="仿宋" w:eastAsia="仿宋" w:cs="仿宋_GB2312"/>
                <w:color w:val="auto"/>
                <w:sz w:val="28"/>
                <w:szCs w:val="28"/>
                <w:highlight w:val="none"/>
                <w:lang w:eastAsia="zh-CN"/>
              </w:rPr>
              <w:t>：①</w:t>
            </w:r>
            <w:r>
              <w:rPr>
                <w:rFonts w:hint="eastAsia" w:ascii="仿宋" w:hAnsi="仿宋" w:eastAsia="仿宋" w:cs="仿宋_GB2312"/>
                <w:color w:val="auto"/>
                <w:sz w:val="28"/>
                <w:szCs w:val="28"/>
                <w:highlight w:val="none"/>
              </w:rPr>
              <w:t>参加2022年广西大学生电子设计竞赛获本科组一等奖</w:t>
            </w:r>
            <w:r>
              <w:rPr>
                <w:rFonts w:hint="eastAsia" w:ascii="仿宋" w:hAnsi="仿宋" w:eastAsia="仿宋" w:cs="仿宋_GB2312"/>
                <w:color w:val="auto"/>
                <w:sz w:val="28"/>
                <w:szCs w:val="28"/>
                <w:highlight w:val="none"/>
                <w:lang w:eastAsia="zh-CN"/>
              </w:rPr>
              <w:t>；②</w:t>
            </w:r>
            <w:r>
              <w:rPr>
                <w:rFonts w:hint="eastAsia" w:ascii="仿宋" w:hAnsi="仿宋" w:eastAsia="仿宋" w:cs="仿宋_GB2312"/>
                <w:color w:val="auto"/>
                <w:sz w:val="28"/>
                <w:szCs w:val="28"/>
                <w:highlight w:val="none"/>
              </w:rPr>
              <w:t>指导学生2020年广西职业院校技能比赛高职组“电子产品设计及制作”项目团体赛中荣获二等奖</w:t>
            </w:r>
            <w:r>
              <w:rPr>
                <w:rFonts w:hint="eastAsia" w:ascii="仿宋" w:hAnsi="仿宋" w:eastAsia="仿宋" w:cs="仿宋_GB2312"/>
                <w:color w:val="auto"/>
                <w:sz w:val="28"/>
                <w:szCs w:val="28"/>
                <w:highlight w:val="none"/>
                <w:lang w:eastAsia="zh-CN"/>
              </w:rPr>
              <w:t>；③</w:t>
            </w:r>
            <w:r>
              <w:rPr>
                <w:rFonts w:hint="eastAsia" w:ascii="仿宋" w:hAnsi="仿宋" w:eastAsia="仿宋" w:cs="仿宋_GB2312"/>
                <w:color w:val="auto"/>
                <w:sz w:val="28"/>
                <w:szCs w:val="28"/>
                <w:highlight w:val="none"/>
              </w:rPr>
              <w:t>指导学生参加第六届中华职业教育创新创业大赛广西区赛获得银奖</w:t>
            </w:r>
            <w:r>
              <w:rPr>
                <w:rFonts w:hint="eastAsia" w:ascii="仿宋" w:hAnsi="仿宋" w:eastAsia="仿宋" w:cs="仿宋_GB2312"/>
                <w:color w:val="auto"/>
                <w:sz w:val="28"/>
                <w:szCs w:val="28"/>
                <w:highlight w:val="none"/>
                <w:lang w:eastAsia="zh-CN"/>
              </w:rPr>
              <w:t>；④</w:t>
            </w:r>
            <w:r>
              <w:rPr>
                <w:rFonts w:hint="eastAsia" w:ascii="仿宋" w:hAnsi="仿宋" w:eastAsia="仿宋" w:cs="仿宋_GB2312"/>
                <w:color w:val="auto"/>
                <w:sz w:val="28"/>
                <w:szCs w:val="28"/>
                <w:highlight w:val="none"/>
              </w:rPr>
              <w:t>指导学生参加2023年全国大学生电子设计竞赛广西赛区（本科组）获一等奖</w:t>
            </w:r>
            <w:r>
              <w:rPr>
                <w:rFonts w:hint="eastAsia" w:ascii="仿宋" w:hAnsi="仿宋" w:eastAsia="仿宋" w:cs="仿宋_GB2312"/>
                <w:color w:val="auto"/>
                <w:sz w:val="28"/>
                <w:szCs w:val="28"/>
                <w:highlight w:val="none"/>
                <w:lang w:val="en-US" w:eastAsia="zh-CN"/>
              </w:rPr>
              <w:t>等</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88"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专业人才</w:t>
            </w:r>
          </w:p>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培养方案要点</w:t>
            </w:r>
          </w:p>
        </w:tc>
        <w:tc>
          <w:tcPr>
            <w:tcW w:w="7844" w:type="dxa"/>
            <w:gridSpan w:val="4"/>
          </w:tcPr>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560" w:firstLineChars="200"/>
              <w:textAlignment w:val="auto"/>
              <w:rPr>
                <w:rFonts w:hint="eastAsia" w:ascii="黑体" w:hAnsi="黑体" w:eastAsia="黑体" w:cs="黑体"/>
                <w:color w:val="auto"/>
                <w:sz w:val="28"/>
                <w:szCs w:val="28"/>
                <w:highlight w:val="none"/>
              </w:rPr>
            </w:pPr>
            <w:r>
              <w:rPr>
                <w:rFonts w:hint="eastAsia" w:ascii="黑体" w:hAnsi="黑体" w:eastAsia="黑体" w:cs="黑体"/>
                <w:color w:val="auto"/>
                <w:kern w:val="2"/>
                <w:sz w:val="28"/>
                <w:szCs w:val="28"/>
                <w:lang w:val="en-US" w:eastAsia="zh-CN" w:bidi="ar-SA"/>
              </w:rPr>
              <w:t>一、</w:t>
            </w:r>
            <w:r>
              <w:rPr>
                <w:rFonts w:hint="eastAsia" w:ascii="黑体" w:hAnsi="黑体" w:eastAsia="黑体" w:cs="黑体"/>
                <w:color w:val="auto"/>
                <w:sz w:val="28"/>
                <w:szCs w:val="28"/>
                <w:highlight w:val="none"/>
              </w:rPr>
              <w:t>专业定位</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lang w:val="en-US" w:eastAsia="zh-CN"/>
              </w:rPr>
            </w:pPr>
            <w:r>
              <w:rPr>
                <w:rFonts w:hint="eastAsia" w:ascii="仿宋" w:hAnsi="仿宋" w:eastAsia="仿宋" w:cs="仿宋_GB2312"/>
                <w:color w:val="auto"/>
                <w:sz w:val="28"/>
                <w:szCs w:val="28"/>
                <w:highlight w:val="none"/>
                <w:lang w:val="en-US" w:eastAsia="zh-CN"/>
              </w:rPr>
              <w:t>本专业立足广西，面向全国，辐射东盟区域经济发展，突出“宽口径、高层次、强技能”的培养重点，打造通识教育、实践教育、专业教育“三位一体”的发展平台，使学生通过</w:t>
            </w:r>
            <w:r>
              <w:rPr>
                <w:rFonts w:hint="eastAsia" w:ascii="仿宋" w:hAnsi="仿宋" w:eastAsia="仿宋" w:cs="仿宋_GB2312"/>
                <w:color w:val="auto"/>
                <w:sz w:val="28"/>
                <w:szCs w:val="28"/>
                <w:highlight w:val="none"/>
              </w:rPr>
              <w:t>培养系统掌握电力电子技术、电机与拖动技术</w:t>
            </w:r>
            <w:r>
              <w:rPr>
                <w:rFonts w:hint="eastAsia" w:ascii="仿宋" w:hAnsi="仿宋" w:eastAsia="仿宋" w:cs="仿宋_GB2312"/>
                <w:color w:val="auto"/>
                <w:sz w:val="28"/>
                <w:szCs w:val="28"/>
                <w:highlight w:val="none"/>
                <w:lang w:eastAsia="zh-CN"/>
              </w:rPr>
              <w:t>、自动控制原理、单片机应用技术等专业知识，</w:t>
            </w:r>
            <w:r>
              <w:rPr>
                <w:rFonts w:hint="eastAsia" w:ascii="仿宋" w:hAnsi="仿宋" w:eastAsia="仿宋" w:cs="仿宋_GB2312"/>
                <w:color w:val="auto"/>
                <w:sz w:val="28"/>
                <w:szCs w:val="28"/>
                <w:highlight w:val="none"/>
                <w:lang w:val="en-US" w:eastAsia="zh-CN"/>
              </w:rPr>
              <w:t>并</w:t>
            </w:r>
            <w:r>
              <w:rPr>
                <w:rFonts w:hint="eastAsia" w:ascii="仿宋" w:hAnsi="仿宋" w:eastAsia="仿宋" w:cs="仿宋_GB2312"/>
                <w:color w:val="auto"/>
                <w:sz w:val="28"/>
                <w:szCs w:val="28"/>
                <w:highlight w:val="none"/>
              </w:rPr>
              <w:t>通过实验、实习、课程设计等实践</w:t>
            </w:r>
            <w:r>
              <w:rPr>
                <w:rFonts w:hint="eastAsia" w:ascii="仿宋" w:hAnsi="仿宋" w:eastAsia="仿宋" w:cs="仿宋_GB2312"/>
                <w:color w:val="auto"/>
                <w:sz w:val="28"/>
                <w:szCs w:val="28"/>
                <w:highlight w:val="none"/>
                <w:lang w:val="en-US" w:eastAsia="zh-CN"/>
              </w:rPr>
              <w:t>性</w:t>
            </w:r>
            <w:r>
              <w:rPr>
                <w:rFonts w:hint="eastAsia" w:ascii="仿宋" w:hAnsi="仿宋" w:eastAsia="仿宋" w:cs="仿宋_GB2312"/>
                <w:color w:val="auto"/>
                <w:sz w:val="28"/>
                <w:szCs w:val="28"/>
                <w:highlight w:val="none"/>
              </w:rPr>
              <w:t>教学环节，增强其工程实践能力和创新意识</w:t>
            </w:r>
            <w:r>
              <w:rPr>
                <w:rFonts w:hint="eastAsia" w:ascii="仿宋" w:hAnsi="仿宋" w:eastAsia="仿宋" w:cs="仿宋_GB2312"/>
                <w:color w:val="auto"/>
                <w:sz w:val="28"/>
                <w:szCs w:val="28"/>
                <w:highlight w:val="none"/>
                <w:lang w:eastAsia="zh-CN"/>
              </w:rPr>
              <w:t>，突出知识与能力的高层次，使毕业生能够从事科技成果、实验成果转化，生产加工中高端电类产品、提供中高端服务，</w:t>
            </w:r>
            <w:r>
              <w:rPr>
                <w:rFonts w:hint="eastAsia" w:ascii="仿宋" w:hAnsi="仿宋" w:eastAsia="仿宋" w:cs="仿宋_GB2312"/>
                <w:color w:val="auto"/>
                <w:sz w:val="28"/>
                <w:szCs w:val="28"/>
                <w:highlight w:val="none"/>
              </w:rPr>
              <w:t>能够解决电气自动化领域复杂工程问题</w:t>
            </w:r>
            <w:r>
              <w:rPr>
                <w:rFonts w:hint="eastAsia" w:ascii="仿宋" w:hAnsi="仿宋" w:eastAsia="仿宋" w:cs="仿宋_GB2312"/>
                <w:color w:val="auto"/>
                <w:sz w:val="28"/>
                <w:szCs w:val="28"/>
                <w:highlight w:val="none"/>
                <w:lang w:eastAsia="zh-CN"/>
              </w:rPr>
              <w:t>和进行较复杂操作</w:t>
            </w:r>
            <w:r>
              <w:rPr>
                <w:rFonts w:hint="eastAsia" w:ascii="仿宋" w:hAnsi="仿宋" w:eastAsia="仿宋" w:cs="仿宋_GB2312"/>
                <w:color w:val="auto"/>
                <w:sz w:val="28"/>
                <w:szCs w:val="28"/>
                <w:highlight w:val="none"/>
              </w:rPr>
              <w:t>的高层次技术技能人才。</w:t>
            </w:r>
            <w:r>
              <w:rPr>
                <w:rFonts w:hint="eastAsia" w:ascii="仿宋" w:hAnsi="仿宋" w:eastAsia="仿宋" w:cs="仿宋_GB2312"/>
                <w:color w:val="auto"/>
                <w:sz w:val="28"/>
                <w:szCs w:val="28"/>
                <w:highlight w:val="none"/>
                <w:lang w:val="en-US" w:eastAsia="zh-CN"/>
              </w:rPr>
              <w:t>建成在全国范围内特色明显、核心竞争力较强的职业本科院校一流专业。</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560" w:firstLineChars="200"/>
              <w:textAlignment w:val="auto"/>
              <w:rPr>
                <w:rFonts w:hint="eastAsia" w:ascii="仿宋" w:hAnsi="仿宋" w:eastAsia="仿宋" w:cs="仿宋_GB2312"/>
                <w:color w:val="auto"/>
                <w:sz w:val="28"/>
                <w:szCs w:val="28"/>
                <w:highlight w:val="none"/>
              </w:rPr>
            </w:pPr>
            <w:r>
              <w:rPr>
                <w:rFonts w:hint="eastAsia" w:ascii="黑体" w:hAnsi="黑体" w:eastAsia="黑体" w:cs="黑体"/>
                <w:color w:val="auto"/>
                <w:kern w:val="2"/>
                <w:sz w:val="28"/>
                <w:szCs w:val="28"/>
                <w:highlight w:val="none"/>
                <w:lang w:val="en-US" w:eastAsia="zh-CN" w:bidi="ar-SA"/>
              </w:rPr>
              <w:t>二、</w:t>
            </w:r>
            <w:r>
              <w:rPr>
                <w:rFonts w:hint="eastAsia" w:ascii="黑体" w:hAnsi="黑体" w:eastAsia="黑体" w:cs="黑体"/>
                <w:color w:val="auto"/>
                <w:sz w:val="28"/>
                <w:szCs w:val="28"/>
                <w:highlight w:val="none"/>
              </w:rPr>
              <w:t>职业面向</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电气自动化专业毕业生可以面向电气控制系统制造</w:t>
            </w:r>
            <w:r>
              <w:rPr>
                <w:rFonts w:hint="eastAsia" w:ascii="仿宋" w:hAnsi="仿宋" w:eastAsia="仿宋" w:cs="仿宋_GB2312"/>
                <w:color w:val="auto"/>
                <w:sz w:val="28"/>
                <w:szCs w:val="28"/>
                <w:highlight w:val="none"/>
                <w:lang w:val="en-US" w:eastAsia="zh-CN"/>
              </w:rPr>
              <w:t>企业</w:t>
            </w:r>
            <w:r>
              <w:rPr>
                <w:rFonts w:hint="eastAsia" w:ascii="仿宋" w:hAnsi="仿宋" w:eastAsia="仿宋" w:cs="仿宋_GB2312"/>
                <w:color w:val="auto"/>
                <w:sz w:val="28"/>
                <w:szCs w:val="28"/>
                <w:highlight w:val="none"/>
              </w:rPr>
              <w:t>，从事自动控制系统的安装、调试以及设计等方面的工作。此外，还可从事自动化技术类产品的开发、装配、测试、营销、推广等工作，并成为相关领域的技术骨干、专业工程师。在政府职能部门和各企、事业单位，毕业生还可以从事供配电系统的运行、维护及管理，成为中高级管理者。</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该专业的典型职业岗位群包括电气工程师、电气工程技术员、电气设备运维员和电气工程师等</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rPr>
              <w:t>这些职业岗位群为毕业生提供了广阔的就业前景和发展空间。</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三、课程体系</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auto"/>
              <w:rPr>
                <w:rFonts w:hint="eastAsia" w:ascii="仿宋" w:hAnsi="仿宋" w:eastAsia="仿宋" w:cs="仿宋_GB2312"/>
                <w:color w:val="auto"/>
                <w:sz w:val="28"/>
                <w:szCs w:val="28"/>
                <w:highlight w:val="none"/>
                <w:lang w:eastAsia="zh-CN"/>
              </w:rPr>
            </w:pPr>
            <w:r>
              <w:rPr>
                <w:rFonts w:hint="eastAsia" w:ascii="仿宋" w:hAnsi="仿宋" w:eastAsia="仿宋" w:cs="仿宋_GB2312"/>
                <w:color w:val="auto"/>
                <w:sz w:val="28"/>
                <w:szCs w:val="28"/>
                <w:highlight w:val="none"/>
              </w:rPr>
              <w:t>电气工程及自动化专业</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rPr>
              <w:t>拟开设的</w:t>
            </w:r>
            <w:r>
              <w:rPr>
                <w:rFonts w:hint="eastAsia" w:ascii="仿宋" w:hAnsi="仿宋" w:eastAsia="仿宋" w:cs="仿宋_GB2312"/>
                <w:color w:val="auto"/>
                <w:sz w:val="28"/>
                <w:szCs w:val="28"/>
                <w:highlight w:val="none"/>
                <w:lang w:val="en-US" w:eastAsia="zh-CN"/>
              </w:rPr>
              <w:t>课程</w:t>
            </w:r>
            <w:r>
              <w:rPr>
                <w:rFonts w:hint="eastAsia" w:ascii="仿宋" w:hAnsi="仿宋" w:eastAsia="仿宋" w:cs="仿宋_GB2312"/>
                <w:color w:val="auto"/>
                <w:sz w:val="28"/>
                <w:szCs w:val="28"/>
                <w:highlight w:val="none"/>
              </w:rPr>
              <w:t>构建</w:t>
            </w:r>
            <w:r>
              <w:rPr>
                <w:rFonts w:hint="eastAsia" w:ascii="仿宋" w:hAnsi="仿宋" w:eastAsia="仿宋" w:cs="仿宋_GB2312"/>
                <w:color w:val="auto"/>
                <w:sz w:val="28"/>
                <w:szCs w:val="28"/>
                <w:highlight w:val="none"/>
                <w:lang w:val="en-US" w:eastAsia="zh-CN"/>
              </w:rPr>
              <w:t>了</w:t>
            </w:r>
            <w:r>
              <w:rPr>
                <w:rFonts w:hint="eastAsia" w:ascii="仿宋" w:hAnsi="仿宋" w:eastAsia="仿宋" w:cs="仿宋_GB2312"/>
                <w:color w:val="auto"/>
                <w:sz w:val="28"/>
                <w:szCs w:val="28"/>
                <w:highlight w:val="none"/>
              </w:rPr>
              <w:t>“</w:t>
            </w:r>
            <w:r>
              <w:rPr>
                <w:rFonts w:hint="eastAsia" w:ascii="仿宋" w:hAnsi="仿宋" w:eastAsia="仿宋" w:cs="仿宋_GB2312"/>
                <w:color w:val="auto"/>
                <w:sz w:val="28"/>
                <w:szCs w:val="28"/>
                <w:highlight w:val="none"/>
                <w:lang w:val="en-US" w:eastAsia="zh-CN"/>
              </w:rPr>
              <w:t>岗课赛证</w:t>
            </w:r>
            <w:r>
              <w:rPr>
                <w:rFonts w:hint="eastAsia" w:ascii="仿宋" w:hAnsi="仿宋" w:eastAsia="仿宋" w:cs="仿宋_GB2312"/>
                <w:color w:val="auto"/>
                <w:sz w:val="28"/>
                <w:szCs w:val="28"/>
                <w:highlight w:val="none"/>
              </w:rPr>
              <w:t>，课证融通”的课程体系，课程设置</w:t>
            </w:r>
            <w:r>
              <w:rPr>
                <w:rFonts w:hint="eastAsia" w:ascii="仿宋" w:hAnsi="仿宋" w:eastAsia="仿宋" w:cs="仿宋_GB2312"/>
                <w:color w:val="auto"/>
                <w:sz w:val="28"/>
                <w:szCs w:val="28"/>
                <w:highlight w:val="none"/>
                <w:lang w:val="en-US" w:eastAsia="zh-CN"/>
              </w:rPr>
              <w:t>了</w:t>
            </w:r>
            <w:r>
              <w:rPr>
                <w:rFonts w:hint="eastAsia" w:ascii="仿宋" w:hAnsi="仿宋" w:eastAsia="仿宋" w:cs="仿宋_GB2312"/>
                <w:color w:val="auto"/>
                <w:sz w:val="28"/>
                <w:szCs w:val="28"/>
                <w:highlight w:val="none"/>
              </w:rPr>
              <w:t>职业能力基础、职业能力核心、专业能力拓展选修、职业技能等级认证、职业能力实践等7大模块，</w:t>
            </w:r>
            <w:r>
              <w:rPr>
                <w:rFonts w:hint="eastAsia" w:ascii="仿宋" w:hAnsi="仿宋" w:eastAsia="仿宋" w:cs="仿宋_GB2312"/>
                <w:color w:val="auto"/>
                <w:sz w:val="28"/>
                <w:szCs w:val="28"/>
                <w:highlight w:val="none"/>
                <w:lang w:val="en-US" w:eastAsia="zh-CN"/>
              </w:rPr>
              <w:t>该专业</w:t>
            </w:r>
            <w:r>
              <w:rPr>
                <w:rFonts w:hint="eastAsia" w:ascii="仿宋" w:hAnsi="仿宋" w:eastAsia="仿宋" w:cs="仿宋_GB2312"/>
                <w:color w:val="auto"/>
                <w:sz w:val="28"/>
                <w:szCs w:val="28"/>
                <w:highlight w:val="none"/>
              </w:rPr>
              <w:t>开设</w:t>
            </w:r>
            <w:r>
              <w:rPr>
                <w:rFonts w:hint="eastAsia" w:ascii="仿宋" w:hAnsi="仿宋" w:eastAsia="仿宋" w:cs="仿宋_GB2312"/>
                <w:color w:val="auto"/>
                <w:sz w:val="28"/>
                <w:szCs w:val="28"/>
                <w:highlight w:val="none"/>
                <w:lang w:val="en-US" w:eastAsia="zh-CN"/>
              </w:rPr>
              <w:t>了《</w:t>
            </w:r>
            <w:r>
              <w:rPr>
                <w:rFonts w:hint="eastAsia" w:ascii="仿宋" w:hAnsi="仿宋" w:eastAsia="仿宋" w:cs="仿宋_GB2312"/>
                <w:color w:val="auto"/>
                <w:sz w:val="28"/>
                <w:szCs w:val="28"/>
                <w:highlight w:val="none"/>
              </w:rPr>
              <w:t>电路分析基础</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rPr>
              <w:t>单片机应用技术</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lang w:val="en-US" w:eastAsia="zh-CN"/>
              </w:rPr>
              <w:t>《</w:t>
            </w:r>
            <w:r>
              <w:rPr>
                <w:rFonts w:hint="eastAsia" w:ascii="仿宋" w:hAnsi="仿宋" w:eastAsia="仿宋" w:cs="仿宋_GB2312"/>
                <w:color w:val="auto"/>
                <w:sz w:val="28"/>
                <w:szCs w:val="28"/>
                <w:highlight w:val="none"/>
              </w:rPr>
              <w:t>电气控制与PLC技术</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lang w:val="en-US" w:eastAsia="zh-CN"/>
              </w:rPr>
              <w:t>《</w:t>
            </w:r>
            <w:r>
              <w:rPr>
                <w:rFonts w:hint="eastAsia" w:ascii="仿宋" w:hAnsi="仿宋" w:eastAsia="仿宋" w:cs="仿宋_GB2312"/>
                <w:color w:val="auto"/>
                <w:sz w:val="28"/>
                <w:szCs w:val="28"/>
                <w:highlight w:val="none"/>
                <w:lang w:eastAsia="zh-CN"/>
              </w:rPr>
              <w:t>电力电子技术》《</w:t>
            </w:r>
            <w:r>
              <w:rPr>
                <w:rFonts w:hint="eastAsia" w:ascii="仿宋" w:hAnsi="仿宋" w:eastAsia="仿宋" w:cs="仿宋_GB2312"/>
                <w:color w:val="auto"/>
                <w:sz w:val="28"/>
                <w:szCs w:val="28"/>
                <w:highlight w:val="none"/>
              </w:rPr>
              <w:t>现代供配电技术</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rPr>
              <w:t>等代表性的课程</w:t>
            </w:r>
            <w:r>
              <w:rPr>
                <w:rFonts w:hint="eastAsia" w:ascii="仿宋" w:hAnsi="仿宋" w:eastAsia="仿宋" w:cs="仿宋_GB2312"/>
                <w:color w:val="auto"/>
                <w:sz w:val="28"/>
                <w:szCs w:val="28"/>
                <w:highlight w:val="none"/>
                <w:lang w:eastAsia="zh-CN"/>
              </w:rPr>
              <w:t>，实践教学课时占总课时的</w:t>
            </w:r>
            <w:r>
              <w:rPr>
                <w:rFonts w:hint="eastAsia" w:ascii="仿宋" w:hAnsi="仿宋" w:eastAsia="仿宋" w:cs="仿宋_GB2312"/>
                <w:color w:val="auto"/>
                <w:sz w:val="28"/>
                <w:szCs w:val="28"/>
                <w:highlight w:val="none"/>
                <w:lang w:val="en-US" w:eastAsia="zh-CN"/>
              </w:rPr>
              <w:t>51.02%</w:t>
            </w:r>
            <w:r>
              <w:rPr>
                <w:rFonts w:hint="eastAsia" w:ascii="仿宋" w:hAnsi="仿宋" w:eastAsia="仿宋" w:cs="仿宋_GB2312"/>
                <w:color w:val="auto"/>
                <w:sz w:val="28"/>
                <w:szCs w:val="28"/>
                <w:highlight w:val="none"/>
                <w:lang w:eastAsia="zh-CN"/>
              </w:rPr>
              <w:t>，实验实训项目（任务）开出率能达到100%。</w:t>
            </w:r>
            <w:r>
              <w:rPr>
                <w:rFonts w:hint="eastAsia" w:ascii="仿宋" w:hAnsi="仿宋" w:eastAsia="仿宋" w:cs="仿宋_GB2312"/>
                <w:color w:val="auto"/>
                <w:sz w:val="28"/>
                <w:szCs w:val="28"/>
                <w:highlight w:val="none"/>
                <w:lang w:val="en-US" w:eastAsia="zh-CN"/>
              </w:rPr>
              <w:t>课程教学</w:t>
            </w:r>
            <w:r>
              <w:rPr>
                <w:rFonts w:hint="eastAsia" w:ascii="仿宋" w:hAnsi="仿宋" w:eastAsia="仿宋" w:cs="仿宋_GB2312"/>
                <w:color w:val="auto"/>
                <w:sz w:val="28"/>
                <w:szCs w:val="28"/>
                <w:highlight w:val="none"/>
              </w:rPr>
              <w:t>融入</w:t>
            </w:r>
            <w:r>
              <w:rPr>
                <w:rFonts w:hint="eastAsia" w:ascii="仿宋" w:hAnsi="仿宋" w:eastAsia="仿宋" w:cs="仿宋_GB2312"/>
                <w:color w:val="auto"/>
                <w:sz w:val="28"/>
                <w:szCs w:val="28"/>
                <w:highlight w:val="none"/>
                <w:lang w:val="en-US" w:eastAsia="zh-CN"/>
              </w:rPr>
              <w:t>了</w:t>
            </w:r>
            <w:r>
              <w:rPr>
                <w:rFonts w:hint="eastAsia" w:ascii="仿宋" w:hAnsi="仿宋" w:eastAsia="仿宋" w:cs="仿宋_GB2312"/>
                <w:color w:val="auto"/>
                <w:sz w:val="28"/>
                <w:szCs w:val="28"/>
                <w:highlight w:val="none"/>
              </w:rPr>
              <w:t>岗位典型工作案例</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rPr>
              <w:t>职业技能等级证书</w:t>
            </w:r>
            <w:r>
              <w:rPr>
                <w:rFonts w:hint="eastAsia" w:ascii="仿宋" w:hAnsi="仿宋" w:eastAsia="仿宋" w:cs="仿宋_GB2312"/>
                <w:color w:val="auto"/>
                <w:sz w:val="28"/>
                <w:szCs w:val="28"/>
                <w:highlight w:val="none"/>
                <w:lang w:val="en-US" w:eastAsia="zh-CN"/>
              </w:rPr>
              <w:t>等内容</w:t>
            </w:r>
            <w:r>
              <w:rPr>
                <w:rFonts w:hint="eastAsia" w:ascii="仿宋" w:hAnsi="仿宋" w:eastAsia="仿宋" w:cs="仿宋_GB2312"/>
                <w:color w:val="auto"/>
                <w:sz w:val="28"/>
                <w:szCs w:val="28"/>
                <w:highlight w:val="none"/>
              </w:rPr>
              <w:t>，将职业岗位知识</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rPr>
              <w:t>职业素养</w:t>
            </w:r>
            <w:r>
              <w:rPr>
                <w:rFonts w:hint="eastAsia" w:ascii="仿宋" w:hAnsi="仿宋" w:eastAsia="仿宋" w:cs="仿宋_GB2312"/>
                <w:color w:val="auto"/>
                <w:sz w:val="28"/>
                <w:szCs w:val="28"/>
                <w:highlight w:val="none"/>
                <w:lang w:val="en-US" w:eastAsia="zh-CN"/>
              </w:rPr>
              <w:t>和</w:t>
            </w:r>
            <w:r>
              <w:rPr>
                <w:rFonts w:hint="eastAsia" w:ascii="仿宋" w:hAnsi="仿宋" w:eastAsia="仿宋" w:cs="仿宋_GB2312"/>
                <w:color w:val="auto"/>
                <w:sz w:val="28"/>
                <w:szCs w:val="28"/>
                <w:highlight w:val="none"/>
              </w:rPr>
              <w:t>职业技能等级</w:t>
            </w:r>
            <w:r>
              <w:rPr>
                <w:rFonts w:hint="eastAsia" w:ascii="仿宋" w:hAnsi="仿宋" w:eastAsia="仿宋" w:cs="仿宋_GB2312"/>
                <w:color w:val="auto"/>
                <w:sz w:val="28"/>
                <w:szCs w:val="28"/>
                <w:highlight w:val="none"/>
                <w:lang w:val="en-US" w:eastAsia="zh-CN"/>
              </w:rPr>
              <w:t>证书培训内容纳入到日常的</w:t>
            </w:r>
            <w:r>
              <w:rPr>
                <w:rFonts w:hint="eastAsia" w:ascii="仿宋" w:hAnsi="仿宋" w:eastAsia="仿宋" w:cs="仿宋_GB2312"/>
                <w:color w:val="auto"/>
                <w:sz w:val="28"/>
                <w:szCs w:val="28"/>
                <w:highlight w:val="none"/>
              </w:rPr>
              <w:t>教学活动</w:t>
            </w:r>
            <w:r>
              <w:rPr>
                <w:rFonts w:hint="eastAsia" w:ascii="仿宋" w:hAnsi="仿宋" w:eastAsia="仿宋" w:cs="仿宋_GB2312"/>
                <w:color w:val="auto"/>
                <w:sz w:val="28"/>
                <w:szCs w:val="28"/>
                <w:highlight w:val="none"/>
                <w:lang w:val="en-US" w:eastAsia="zh-CN"/>
              </w:rPr>
              <w:t>中</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lang w:val="en-US" w:eastAsia="zh-CN"/>
              </w:rPr>
              <w:t>并</w:t>
            </w:r>
            <w:r>
              <w:rPr>
                <w:rFonts w:hint="eastAsia" w:ascii="仿宋" w:hAnsi="仿宋" w:eastAsia="仿宋" w:cs="仿宋_GB2312"/>
                <w:color w:val="auto"/>
                <w:sz w:val="28"/>
                <w:szCs w:val="28"/>
                <w:highlight w:val="none"/>
              </w:rPr>
              <w:t>鼓励学生通过课程的学习和企业实践，</w:t>
            </w:r>
            <w:r>
              <w:rPr>
                <w:rFonts w:hint="eastAsia" w:ascii="仿宋" w:hAnsi="仿宋" w:eastAsia="仿宋" w:cs="仿宋_GB2312"/>
                <w:color w:val="auto"/>
                <w:sz w:val="28"/>
                <w:szCs w:val="28"/>
                <w:highlight w:val="none"/>
                <w:lang w:val="en-US" w:eastAsia="zh-CN"/>
              </w:rPr>
              <w:t>参加更多的大学生竞赛</w:t>
            </w:r>
            <w:r>
              <w:rPr>
                <w:rFonts w:hint="eastAsia" w:ascii="仿宋" w:hAnsi="仿宋" w:eastAsia="仿宋" w:cs="仿宋_GB2312"/>
                <w:color w:val="auto"/>
                <w:sz w:val="28"/>
                <w:szCs w:val="28"/>
                <w:highlight w:val="none"/>
                <w:lang w:eastAsia="zh-CN"/>
              </w:rPr>
              <w:t>，</w:t>
            </w:r>
            <w:r>
              <w:rPr>
                <w:rFonts w:hint="eastAsia" w:ascii="仿宋" w:hAnsi="仿宋" w:eastAsia="仿宋" w:cs="仿宋_GB2312"/>
                <w:color w:val="auto"/>
                <w:sz w:val="28"/>
                <w:szCs w:val="28"/>
                <w:highlight w:val="none"/>
              </w:rPr>
              <w:t>考取</w:t>
            </w:r>
            <w:r>
              <w:rPr>
                <w:rFonts w:hint="eastAsia" w:ascii="仿宋" w:hAnsi="仿宋" w:eastAsia="仿宋" w:cs="仿宋_GB2312"/>
                <w:color w:val="auto"/>
                <w:sz w:val="28"/>
                <w:szCs w:val="28"/>
                <w:highlight w:val="none"/>
                <w:lang w:val="en-US" w:eastAsia="zh-CN"/>
              </w:rPr>
              <w:t>多个</w:t>
            </w:r>
            <w:r>
              <w:rPr>
                <w:rFonts w:hint="eastAsia" w:ascii="仿宋" w:hAnsi="仿宋" w:eastAsia="仿宋" w:cs="仿宋_GB2312"/>
                <w:color w:val="auto"/>
                <w:sz w:val="28"/>
                <w:szCs w:val="28"/>
                <w:highlight w:val="none"/>
              </w:rPr>
              <w:t>职业技能等级证书</w:t>
            </w:r>
            <w:r>
              <w:rPr>
                <w:rFonts w:hint="eastAsia" w:ascii="仿宋" w:hAnsi="仿宋" w:eastAsia="仿宋" w:cs="仿宋_GB2312"/>
                <w:color w:val="auto"/>
                <w:sz w:val="28"/>
                <w:szCs w:val="28"/>
                <w:highlight w:val="none"/>
                <w:lang w:eastAsia="zh-CN"/>
              </w:rPr>
              <w:t>，拓展就业创业本领。</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default"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rPr>
              <w:t>四、人才培养模式</w:t>
            </w:r>
          </w:p>
          <w:p>
            <w:pPr>
              <w:pStyle w:val="11"/>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方正仿宋简体" w:cs="Times New Roman"/>
                <w:color w:val="auto"/>
                <w:sz w:val="18"/>
                <w:szCs w:val="18"/>
                <w:highlight w:val="none"/>
              </w:rPr>
            </w:pPr>
            <w:r>
              <w:rPr>
                <w:rFonts w:hint="eastAsia" w:ascii="仿宋" w:hAnsi="仿宋" w:eastAsia="仿宋" w:cs="仿宋_GB2312"/>
                <w:color w:val="auto"/>
                <w:kern w:val="2"/>
                <w:sz w:val="28"/>
                <w:szCs w:val="28"/>
                <w:highlight w:val="none"/>
                <w:lang w:val="en-US" w:eastAsia="zh-CN" w:bidi="ar-SA"/>
              </w:rPr>
              <w:t>学校和企业在平等互利的基础上，共商人才培养方案、共建教学资源、共享教学成果和共赢发展前景，创新“双主体育人”合作机制，制定“产教并举，校企共育”的人才培养模式，促进校企之间的深度合作，实现产教的融合和发展，践行“四引四融”理念，共同培养出适应市场需求的高层次技术技能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7" w:hRule="atLeast"/>
          <w:jc w:val="center"/>
        </w:trPr>
        <w:tc>
          <w:tcPr>
            <w:tcW w:w="888"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办学条件概要</w:t>
            </w:r>
          </w:p>
        </w:tc>
        <w:tc>
          <w:tcPr>
            <w:tcW w:w="7844" w:type="dxa"/>
            <w:gridSpan w:val="4"/>
          </w:tcPr>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一、具备开办专业所需的实习实训场所</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楷体" w:hAnsi="楷体" w:eastAsia="楷体" w:cs="楷体"/>
                <w:color w:val="auto"/>
                <w:kern w:val="2"/>
                <w:sz w:val="28"/>
                <w:szCs w:val="28"/>
                <w:highlight w:val="none"/>
                <w:lang w:val="en-US" w:eastAsia="zh-CN" w:bidi="ar-SA"/>
              </w:rPr>
            </w:pPr>
            <w:r>
              <w:rPr>
                <w:rFonts w:hint="eastAsia" w:ascii="楷体" w:hAnsi="楷体" w:eastAsia="楷体" w:cs="楷体"/>
                <w:color w:val="auto"/>
                <w:kern w:val="2"/>
                <w:sz w:val="28"/>
                <w:szCs w:val="28"/>
                <w:highlight w:val="none"/>
                <w:lang w:val="en-US" w:eastAsia="zh-CN" w:bidi="ar-SA"/>
              </w:rPr>
              <w:t>1.校内实验（实训）基地</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本专业已建成</w:t>
            </w:r>
            <w:r>
              <w:rPr>
                <w:rFonts w:hint="eastAsia" w:ascii="仿宋" w:hAnsi="仿宋" w:eastAsia="仿宋" w:cs="仿宋_GB2312"/>
                <w:color w:val="auto"/>
                <w:sz w:val="28"/>
                <w:szCs w:val="28"/>
                <w:highlight w:val="none"/>
              </w:rPr>
              <w:t>工业机器人人才培养实训中心、智能加工实训中心、电气自动化设备实训中心、PLC综合实训室等专业实验实训室，</w:t>
            </w:r>
            <w:r>
              <w:rPr>
                <w:rFonts w:hint="eastAsia" w:ascii="仿宋" w:hAnsi="仿宋" w:eastAsia="仿宋" w:cs="仿宋"/>
                <w:color w:val="auto"/>
                <w:kern w:val="2"/>
                <w:sz w:val="28"/>
                <w:szCs w:val="28"/>
                <w:highlight w:val="none"/>
                <w:lang w:val="en-US" w:eastAsia="zh-CN" w:bidi="ar-SA"/>
              </w:rPr>
              <w:t>能够满足电气工程及自动化专业学生的实训项目教学、职业技能等级证书考取、学科技能竞赛培训等需求。</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楷体" w:hAnsi="楷体" w:eastAsia="楷体" w:cs="楷体"/>
                <w:color w:val="auto"/>
                <w:kern w:val="2"/>
                <w:sz w:val="28"/>
                <w:szCs w:val="28"/>
                <w:highlight w:val="none"/>
                <w:lang w:val="en-US" w:eastAsia="zh-CN" w:bidi="ar-SA"/>
              </w:rPr>
            </w:pPr>
            <w:r>
              <w:rPr>
                <w:rFonts w:hint="eastAsia" w:ascii="楷体" w:hAnsi="楷体" w:eastAsia="楷体" w:cs="楷体"/>
                <w:color w:val="auto"/>
                <w:kern w:val="2"/>
                <w:sz w:val="28"/>
                <w:szCs w:val="28"/>
                <w:highlight w:val="none"/>
                <w:lang w:val="en-US" w:eastAsia="zh-CN" w:bidi="ar-SA"/>
              </w:rPr>
              <w:t>2.校外实习实训基地</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黑体" w:hAnsi="黑体" w:eastAsia="黑体" w:cs="黑体"/>
                <w:color w:val="auto"/>
                <w:sz w:val="28"/>
                <w:szCs w:val="28"/>
                <w:highlight w:val="none"/>
              </w:rPr>
            </w:pPr>
            <w:r>
              <w:rPr>
                <w:rFonts w:hint="eastAsia" w:ascii="仿宋" w:hAnsi="仿宋" w:eastAsia="仿宋" w:cs="仿宋"/>
                <w:color w:val="auto"/>
                <w:kern w:val="2"/>
                <w:sz w:val="28"/>
                <w:szCs w:val="28"/>
                <w:highlight w:val="none"/>
                <w:lang w:val="en-US" w:eastAsia="zh-CN" w:bidi="ar-SA"/>
              </w:rPr>
              <w:t>本专业与广西汽车集团有限公司、广西华盈智能科技有限公司、东莞道元自动化有限公司等7家企业共建电气工程及自动化专业校外实习实训基地。创造岗位技能环境，建立了稳定的专业实习、实训基地关系。</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二、积极推进产教融合，建立稳定校企合作关系</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_GB2312"/>
                <w:color w:val="auto"/>
                <w:sz w:val="28"/>
                <w:szCs w:val="28"/>
                <w:highlight w:val="none"/>
              </w:rPr>
            </w:pPr>
            <w:r>
              <w:rPr>
                <w:rFonts w:hint="eastAsia" w:ascii="仿宋" w:hAnsi="仿宋" w:eastAsia="仿宋" w:cs="仿宋_GB2312"/>
                <w:color w:val="auto"/>
                <w:sz w:val="28"/>
                <w:szCs w:val="28"/>
                <w:highlight w:val="none"/>
              </w:rPr>
              <w:t>主动对接请进来，主动融入走出去的态度把企业引入学校、把技术引入教材、把产品引入课堂、把大师引入教室、把学校融入园区、把教师融入企业、把教学融入车间、把学生融入岗位来推进产教融合的进展。在建设的过程中积极探索双主体“共制、共施、共建、共融”建设机制（共制方案、共施教学、共建平台、共融师资），产生了极好的经济社会效益。202</w:t>
            </w:r>
            <w:r>
              <w:rPr>
                <w:rFonts w:hint="eastAsia" w:ascii="仿宋" w:hAnsi="仿宋" w:eastAsia="仿宋" w:cs="仿宋_GB2312"/>
                <w:color w:val="auto"/>
                <w:sz w:val="28"/>
                <w:szCs w:val="28"/>
                <w:highlight w:val="none"/>
                <w:lang w:val="en-US" w:eastAsia="zh-CN"/>
              </w:rPr>
              <w:t>3</w:t>
            </w:r>
            <w:r>
              <w:rPr>
                <w:rFonts w:hint="eastAsia" w:ascii="仿宋" w:hAnsi="仿宋" w:eastAsia="仿宋" w:cs="仿宋_GB2312"/>
                <w:color w:val="auto"/>
                <w:sz w:val="28"/>
                <w:szCs w:val="28"/>
                <w:highlight w:val="none"/>
              </w:rPr>
              <w:t>年1</w:t>
            </w:r>
            <w:r>
              <w:rPr>
                <w:rFonts w:hint="eastAsia" w:ascii="仿宋" w:hAnsi="仿宋" w:eastAsia="仿宋" w:cs="仿宋_GB2312"/>
                <w:color w:val="auto"/>
                <w:sz w:val="28"/>
                <w:szCs w:val="28"/>
                <w:highlight w:val="none"/>
                <w:lang w:val="en-US" w:eastAsia="zh-CN"/>
              </w:rPr>
              <w:t>0</w:t>
            </w:r>
            <w:r>
              <w:rPr>
                <w:rFonts w:hint="eastAsia" w:ascii="仿宋" w:hAnsi="仿宋" w:eastAsia="仿宋" w:cs="仿宋_GB2312"/>
                <w:color w:val="auto"/>
                <w:sz w:val="28"/>
                <w:szCs w:val="28"/>
                <w:highlight w:val="none"/>
              </w:rPr>
              <w:t>月</w:t>
            </w:r>
            <w:r>
              <w:rPr>
                <w:rFonts w:hint="eastAsia" w:ascii="仿宋" w:hAnsi="仿宋" w:eastAsia="仿宋" w:cs="仿宋_GB2312"/>
                <w:color w:val="auto"/>
                <w:sz w:val="28"/>
                <w:szCs w:val="28"/>
                <w:highlight w:val="none"/>
                <w:lang w:eastAsia="zh-CN"/>
              </w:rPr>
              <w:t>智能制造产业学院</w:t>
            </w:r>
            <w:r>
              <w:rPr>
                <w:rFonts w:hint="eastAsia" w:ascii="仿宋" w:hAnsi="仿宋" w:eastAsia="仿宋" w:cs="仿宋_GB2312"/>
                <w:color w:val="auto"/>
                <w:sz w:val="28"/>
                <w:szCs w:val="28"/>
                <w:highlight w:val="none"/>
              </w:rPr>
              <w:t>获批广西</w:t>
            </w:r>
            <w:r>
              <w:rPr>
                <w:rFonts w:hint="eastAsia" w:ascii="仿宋" w:hAnsi="仿宋" w:eastAsia="仿宋" w:cs="仿宋_GB2312"/>
                <w:color w:val="auto"/>
                <w:sz w:val="28"/>
                <w:szCs w:val="28"/>
                <w:highlight w:val="none"/>
                <w:lang w:eastAsia="zh-CN"/>
              </w:rPr>
              <w:t>第二批</w:t>
            </w:r>
            <w:r>
              <w:rPr>
                <w:rFonts w:hint="eastAsia" w:ascii="仿宋" w:hAnsi="仿宋" w:eastAsia="仿宋" w:cs="仿宋_GB2312"/>
                <w:color w:val="auto"/>
                <w:sz w:val="28"/>
                <w:szCs w:val="28"/>
                <w:highlight w:val="none"/>
              </w:rPr>
              <w:t>高等职业教育示范性产业学院。</w:t>
            </w:r>
            <w:r>
              <w:rPr>
                <w:rFonts w:hint="eastAsia" w:ascii="仿宋" w:hAnsi="仿宋" w:eastAsia="仿宋" w:cs="仿宋_GB2312"/>
                <w:color w:val="auto"/>
                <w:sz w:val="28"/>
                <w:szCs w:val="28"/>
                <w:highlight w:val="none"/>
                <w:lang w:eastAsia="zh-CN"/>
              </w:rPr>
              <w:t>智能工程学院</w:t>
            </w:r>
            <w:r>
              <w:rPr>
                <w:rFonts w:hint="eastAsia" w:ascii="仿宋" w:hAnsi="仿宋" w:eastAsia="仿宋" w:cs="仿宋_GB2312"/>
                <w:color w:val="auto"/>
                <w:sz w:val="28"/>
                <w:szCs w:val="28"/>
                <w:highlight w:val="none"/>
              </w:rPr>
              <w:t>引进的郑志明大师，曾获得国家发明型和实用型专利各一项，多项成果获广西先进工艺装备及先进设备改造评比一、二、三等奖，荣获国家级技能大师、全国技术能手、广西劳动模范等称号。他在教学时理论联系实际，教授《机械设计》课程时，结合自身在广西汽车集团公司车桥厂生产过程中遇到的零部件生产及装配工艺出现的问题进行案例教学，师生反映极佳。</w:t>
            </w:r>
          </w:p>
          <w:p>
            <w:pPr>
              <w:keepNext w:val="0"/>
              <w:keepLines w:val="0"/>
              <w:pageBreakBefore w:val="0"/>
              <w:widowControl w:val="0"/>
              <w:kinsoku/>
              <w:wordWrap/>
              <w:overflowPunct/>
              <w:topLinePunct w:val="0"/>
              <w:autoSpaceDE/>
              <w:autoSpaceDN/>
              <w:bidi w:val="0"/>
              <w:adjustRightInd/>
              <w:spacing w:line="560" w:lineRule="exact"/>
              <w:ind w:firstLine="560" w:firstLineChars="200"/>
              <w:textAlignment w:val="auto"/>
              <w:rPr>
                <w:rFonts w:hint="eastAsia" w:ascii="黑体" w:hAnsi="黑体" w:eastAsia="黑体" w:cs="黑体"/>
                <w:color w:val="auto"/>
                <w:sz w:val="28"/>
                <w:szCs w:val="28"/>
                <w:highlight w:val="none"/>
                <w:lang w:eastAsia="zh-CN"/>
              </w:rPr>
            </w:pPr>
            <w:r>
              <w:rPr>
                <w:rFonts w:hint="eastAsia" w:ascii="黑体" w:hAnsi="黑体" w:eastAsia="黑体" w:cs="黑体"/>
                <w:color w:val="auto"/>
                <w:sz w:val="28"/>
                <w:szCs w:val="28"/>
                <w:highlight w:val="none"/>
              </w:rPr>
              <w:t>三、保证专业建设经费稳定，专业发展可持续</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ascii="Times New Roman" w:hAnsi="Times New Roman" w:eastAsia="方正仿宋简体" w:cs="Times New Roman"/>
                <w:color w:val="auto"/>
                <w:sz w:val="18"/>
                <w:szCs w:val="18"/>
                <w:highlight w:val="none"/>
              </w:rPr>
            </w:pPr>
            <w:r>
              <w:rPr>
                <w:rFonts w:hint="eastAsia" w:ascii="仿宋" w:hAnsi="仿宋" w:eastAsia="仿宋" w:cs="仿宋"/>
                <w:color w:val="auto"/>
                <w:kern w:val="2"/>
                <w:sz w:val="28"/>
                <w:szCs w:val="28"/>
                <w:highlight w:val="none"/>
                <w:lang w:val="en-US" w:eastAsia="zh-CN" w:bidi="ar-SA"/>
              </w:rPr>
              <w:t>学校加大职业本科专业建设的经费投入。预计每年投入30万元专业建设经费，5年投入150万元用于教学仪器设备采购、基础建设、教学实训耗材、教学业务费、师资队伍培养、科研与社会服务经费、实习</w:t>
            </w:r>
            <w:r>
              <w:rPr>
                <w:rFonts w:hint="eastAsia" w:ascii="仿宋" w:hAnsi="仿宋" w:eastAsia="仿宋" w:cs="仿宋_GB2312"/>
                <w:color w:val="auto"/>
                <w:sz w:val="28"/>
                <w:szCs w:val="28"/>
                <w:highlight w:val="none"/>
                <w:lang w:val="en-US" w:eastAsia="zh-CN"/>
              </w:rPr>
              <w:t>就业费等方面。同时学校将积极拓展资金来源渠道，广泛吸引行业、企业、各级政府等深度参与学校的专业建设，逐步提高专业的自我造</w:t>
            </w:r>
            <w:r>
              <w:rPr>
                <w:rFonts w:hint="eastAsia" w:ascii="仿宋" w:hAnsi="仿宋" w:eastAsia="仿宋" w:cs="仿宋"/>
                <w:color w:val="auto"/>
                <w:kern w:val="2"/>
                <w:sz w:val="28"/>
                <w:szCs w:val="28"/>
                <w:highlight w:val="none"/>
                <w:lang w:val="en-US" w:eastAsia="zh-CN" w:bidi="ar-SA"/>
              </w:rPr>
              <w:t>血功能和自我发展能力。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0" w:hRule="atLeast"/>
          <w:jc w:val="center"/>
        </w:trPr>
        <w:tc>
          <w:tcPr>
            <w:tcW w:w="888" w:type="dxa"/>
            <w:vAlign w:val="center"/>
          </w:tcPr>
          <w:p>
            <w:pPr>
              <w:snapToGrid w:val="0"/>
              <w:jc w:val="center"/>
              <w:rPr>
                <w:rFonts w:ascii="Times New Roman" w:hAnsi="Times New Roman" w:eastAsia="仿宋_GB2312" w:cs="Times New Roman"/>
                <w:color w:val="auto"/>
                <w:sz w:val="24"/>
                <w:szCs w:val="24"/>
              </w:rPr>
            </w:pPr>
            <w:r>
              <w:rPr>
                <w:rFonts w:ascii="Times New Roman" w:hAnsi="Times New Roman" w:eastAsia="仿宋_GB2312" w:cs="Times New Roman"/>
                <w:color w:val="auto"/>
                <w:sz w:val="24"/>
                <w:szCs w:val="24"/>
              </w:rPr>
              <w:t>技术研发与社会服务基础概要</w:t>
            </w:r>
          </w:p>
        </w:tc>
        <w:tc>
          <w:tcPr>
            <w:tcW w:w="7844" w:type="dxa"/>
            <w:gridSpan w:val="4"/>
          </w:tcPr>
          <w:p>
            <w:pPr>
              <w:spacing w:line="480" w:lineRule="auto"/>
              <w:ind w:firstLine="560" w:firstLineChars="200"/>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一、技术研发推广平台</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本专业依托职业教育特色示范专业及实训基地、广西高校机器人重点实验室培育基地、广西智能制造职业教育集团等省级技术研发推广平台，通过整合现有校内教学实训基地和校外智能装备制造行业企业资源，能满足师生教学、实验、实习、实训等相关要求，达到提升学生实践动手能力的目的。</w:t>
            </w:r>
          </w:p>
          <w:p>
            <w:pPr>
              <w:spacing w:line="440" w:lineRule="exact"/>
              <w:ind w:firstLine="560" w:firstLineChars="200"/>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二、社会服务情况</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专业教师组成社会服务课题小组，结合设备优势和师资力量，定期开展社会服务活动。近年来，累计面向区域糖业、制造业企业，开展“蔗糖机械设备改造及维护咨询报告”、“三维建模培训”、“关于生产线设计方案与智慧化测试指导服务”、“预置锡线激光焊接法在摄像头上的应用”、“ABB工业机器人使用咨询培训”等科研、教育技术服务，并产生了良</w:t>
            </w:r>
            <w:bookmarkStart w:id="0" w:name="_GoBack"/>
            <w:bookmarkEnd w:id="0"/>
            <w:r>
              <w:rPr>
                <w:rFonts w:hint="eastAsia" w:ascii="仿宋" w:hAnsi="仿宋" w:eastAsia="仿宋" w:cs="仿宋"/>
                <w:color w:val="auto"/>
                <w:kern w:val="2"/>
                <w:sz w:val="28"/>
                <w:szCs w:val="28"/>
                <w:highlight w:val="none"/>
                <w:lang w:val="en-US" w:eastAsia="zh-CN" w:bidi="ar-SA"/>
              </w:rPr>
              <w:t>好的经济和社会效益。</w:t>
            </w:r>
          </w:p>
          <w:p>
            <w:pPr>
              <w:spacing w:line="440" w:lineRule="exact"/>
              <w:ind w:firstLine="560" w:firstLineChars="200"/>
              <w:rPr>
                <w:rFonts w:ascii="黑体" w:hAnsi="黑体" w:eastAsia="黑体" w:cs="黑体"/>
                <w:color w:val="auto"/>
                <w:sz w:val="28"/>
                <w:szCs w:val="28"/>
                <w:highlight w:val="none"/>
              </w:rPr>
            </w:pPr>
            <w:r>
              <w:rPr>
                <w:rFonts w:hint="eastAsia" w:ascii="黑体" w:hAnsi="黑体" w:eastAsia="黑体" w:cs="黑体"/>
                <w:color w:val="auto"/>
                <w:sz w:val="28"/>
                <w:szCs w:val="28"/>
                <w:highlight w:val="none"/>
              </w:rPr>
              <w:t>三、职业培训</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近年来，本专业教师团队面向行企业和社会开展了机器人操作师培训、电气自动化设备培训、低压电工技能等职业培训，培训总人数达1266人次，为在校生人数的2.84倍。</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color w:val="auto"/>
                <w:kern w:val="2"/>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eastAsia" w:ascii="仿宋" w:hAnsi="仿宋" w:eastAsia="仿宋" w:cs="仿宋"/>
                <w:color w:val="auto"/>
                <w:kern w:val="2"/>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专家组评议意见</w:t>
            </w:r>
          </w:p>
        </w:tc>
        <w:tc>
          <w:tcPr>
            <w:tcW w:w="7844" w:type="dxa"/>
            <w:gridSpan w:val="4"/>
            <w:vAlign w:val="bottom"/>
          </w:tcPr>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专家组在认真审阅电气工程及自动化专业材料的基础上，对该专业人才培养方案、课程体系设置、实训条件和师资队伍建设等方面进行了充分的研讨和论证，得出以下结论：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lang w:val="en-US" w:eastAsia="zh-CN" w:bidi="ar-SA"/>
              </w:rPr>
              <w:t>1.</w:t>
            </w:r>
            <w:r>
              <w:rPr>
                <w:rFonts w:hint="eastAsia" w:ascii="仿宋" w:hAnsi="仿宋" w:eastAsia="仿宋" w:cs="仿宋"/>
                <w:color w:val="auto"/>
                <w:kern w:val="2"/>
                <w:sz w:val="28"/>
                <w:szCs w:val="28"/>
                <w:highlight w:val="none"/>
                <w:lang w:val="en-US" w:eastAsia="zh-CN" w:bidi="ar-SA"/>
              </w:rPr>
              <w:t>报告对本区域电气行业企业、就业市场职业技能人才需求的调研分析全面详细，对专业设置的必要性、可行性论证严谨充分。同时，设置职业本科电气工程及自动化专业培养高层次技术技能专业人才，对于促进我区电气自动化产业/行业进一步发展具有重要意义。</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default"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2.该专业办学基础、办学条件、办学特色符合教育部本科层次职业教育专业设置要求，其中依托专业师生比为1:14.39，生均教学科研仪器设备值达2.01万元，教师中高级职称教师占比为55.56%，具有研究生学位教师占比59.26%，具有博士研究生学位教师占比为18.52%，师资结构科学合理，符合职业本科专业设置标准。</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lang w:val="en-US" w:eastAsia="zh-CN" w:bidi="ar-SA"/>
              </w:rPr>
              <w:t>3</w:t>
            </w:r>
            <w:r>
              <w:rPr>
                <w:rFonts w:hint="eastAsia" w:ascii="仿宋" w:hAnsi="仿宋" w:eastAsia="仿宋" w:cs="仿宋"/>
                <w:color w:val="auto"/>
                <w:kern w:val="2"/>
                <w:sz w:val="28"/>
                <w:szCs w:val="28"/>
                <w:highlight w:val="none"/>
                <w:lang w:val="en-US" w:eastAsia="zh-CN" w:bidi="ar-SA"/>
              </w:rPr>
              <w:t>.电气工程及自动化专业人才培养方案整体框架结构合理，培养目标定位准确，教学实施过程理论与实践相结合，实践教学学时占总学时比例达51.02%，利于培养行业缺乏的工匠型人才。该专业符合高层次技术技能人才培养要求，合理可行，可操作性强。</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560" w:firstLineChars="200"/>
              <w:jc w:val="left"/>
              <w:textAlignment w:val="auto"/>
              <w:rPr>
                <w:rFonts w:hint="eastAsia" w:ascii="仿宋" w:hAnsi="仿宋" w:eastAsia="仿宋" w:cs="仿宋"/>
                <w:color w:val="auto"/>
                <w:kern w:val="2"/>
                <w:sz w:val="28"/>
                <w:szCs w:val="28"/>
                <w:highlight w:val="none"/>
                <w:lang w:val="en-US" w:eastAsia="zh-CN" w:bidi="ar-SA"/>
              </w:rPr>
            </w:pPr>
            <w:r>
              <w:rPr>
                <w:rFonts w:hint="eastAsia" w:ascii="仿宋" w:hAnsi="仿宋" w:eastAsia="仿宋" w:cs="仿宋"/>
                <w:color w:val="auto"/>
                <w:kern w:val="2"/>
                <w:sz w:val="28"/>
                <w:szCs w:val="28"/>
                <w:highlight w:val="none"/>
                <w:lang w:val="en-US" w:eastAsia="zh-CN" w:bidi="ar-SA"/>
              </w:rPr>
              <w:t>综上所述，本科层次电气工程及自动化专业设置和人才培养符合行业、市场需求，办学基础条件较好，培养目标定位、规格、方案合理可行，具有积极的现实意义和必要性。经专家组评议，一致同意设置该专业。</w:t>
            </w:r>
          </w:p>
          <w:p>
            <w:pPr>
              <w:tabs>
                <w:tab w:val="left" w:pos="478"/>
              </w:tabs>
              <w:wordWrap w:val="0"/>
              <w:snapToGrid w:val="0"/>
              <w:ind w:firstLine="4560" w:firstLineChars="1900"/>
              <w:rPr>
                <w:rFonts w:ascii="Times New Roman" w:hAnsi="Times New Roman" w:eastAsia="仿宋_GB2312" w:cs="Times New Roman"/>
                <w:sz w:val="24"/>
                <w:szCs w:val="24"/>
                <w:lang w:bidi="ar"/>
              </w:rPr>
            </w:pPr>
          </w:p>
          <w:p>
            <w:pPr>
              <w:tabs>
                <w:tab w:val="left" w:pos="478"/>
              </w:tabs>
              <w:wordWrap w:val="0"/>
              <w:snapToGrid w:val="0"/>
              <w:ind w:firstLine="4560" w:firstLineChars="1900"/>
              <w:rPr>
                <w:rFonts w:ascii="Times New Roman" w:hAnsi="Times New Roman" w:eastAsia="仿宋_GB2312" w:cs="Times New Roman"/>
                <w:sz w:val="18"/>
                <w:szCs w:val="18"/>
                <w:lang w:bidi="ar"/>
              </w:rPr>
            </w:pPr>
            <w:r>
              <w:rPr>
                <w:rFonts w:ascii="Times New Roman" w:hAnsi="Times New Roman" w:eastAsia="仿宋_GB2312" w:cs="Times New Roman"/>
                <w:sz w:val="24"/>
                <w:szCs w:val="24"/>
                <w:lang w:bidi="ar"/>
              </w:rPr>
              <w:t xml:space="preserve">专家组长签字：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9" w:hRule="atLeast"/>
          <w:jc w:val="center"/>
        </w:trPr>
        <w:tc>
          <w:tcPr>
            <w:tcW w:w="888" w:type="dxa"/>
            <w:vAlign w:val="center"/>
          </w:tcPr>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仿宋_GB2312" w:cs="Times New Roman"/>
                <w:sz w:val="24"/>
                <w:szCs w:val="24"/>
              </w:rPr>
            </w:pPr>
          </w:p>
          <w:p>
            <w:pPr>
              <w:snapToGrid w:val="0"/>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省级教育行政部门复核意见</w:t>
            </w: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p>
            <w:pPr>
              <w:snapToGrid w:val="0"/>
              <w:jc w:val="center"/>
              <w:rPr>
                <w:rFonts w:ascii="Times New Roman" w:hAnsi="Times New Roman" w:eastAsia="方正仿宋简体" w:cs="Times New Roman"/>
                <w:sz w:val="24"/>
                <w:szCs w:val="24"/>
              </w:rPr>
            </w:pPr>
          </w:p>
        </w:tc>
        <w:tc>
          <w:tcPr>
            <w:tcW w:w="7844" w:type="dxa"/>
            <w:gridSpan w:val="4"/>
            <w:vAlign w:val="bottom"/>
          </w:tcPr>
          <w:p>
            <w:pPr>
              <w:wordWrap w:val="0"/>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pStyle w:val="11"/>
              <w:rPr>
                <w:rFonts w:ascii="Times New Roman" w:hAnsi="Times New Roman" w:eastAsia="方正仿宋简体" w:cs="Times New Roman"/>
                <w:sz w:val="18"/>
                <w:szCs w:val="18"/>
                <w:lang w:bidi="ar"/>
              </w:rPr>
            </w:pPr>
          </w:p>
          <w:p>
            <w:pPr>
              <w:pStyle w:val="11"/>
              <w:rPr>
                <w:rFonts w:ascii="Times New Roman" w:hAnsi="Times New Roman" w:eastAsia="方正仿宋简体" w:cs="Times New Roman"/>
                <w:sz w:val="18"/>
                <w:szCs w:val="18"/>
                <w:lang w:bidi="ar"/>
              </w:rPr>
            </w:pPr>
          </w:p>
          <w:p>
            <w:pPr>
              <w:pStyle w:val="11"/>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snapToGrid w:val="0"/>
              <w:jc w:val="right"/>
              <w:rPr>
                <w:rFonts w:ascii="Times New Roman" w:hAnsi="Times New Roman" w:eastAsia="方正仿宋简体" w:cs="Times New Roman"/>
                <w:sz w:val="18"/>
                <w:szCs w:val="18"/>
                <w:lang w:bidi="ar"/>
              </w:rPr>
            </w:pPr>
          </w:p>
          <w:p>
            <w:pPr>
              <w:wordWrap w:val="0"/>
              <w:snapToGrid w:val="0"/>
              <w:jc w:val="right"/>
              <w:rPr>
                <w:rFonts w:ascii="Times New Roman" w:hAnsi="Times New Roman" w:eastAsia="方正仿宋简体" w:cs="Times New Roman"/>
                <w:sz w:val="18"/>
                <w:szCs w:val="18"/>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rPr>
            </w:pPr>
            <w:r>
              <w:rPr>
                <w:rFonts w:ascii="Times New Roman" w:hAnsi="Times New Roman" w:eastAsia="仿宋_GB2312" w:cs="Times New Roman"/>
                <w:sz w:val="20"/>
                <w:szCs w:val="20"/>
                <w:lang w:bidi="ar"/>
              </w:rPr>
              <w:t xml:space="preserve">          （盖章）                   </w:t>
            </w:r>
          </w:p>
          <w:p>
            <w:pPr>
              <w:snapToGrid w:val="0"/>
              <w:jc w:val="left"/>
              <w:rPr>
                <w:rFonts w:ascii="Times New Roman" w:hAnsi="Times New Roman" w:eastAsia="仿宋_GB2312" w:cs="Times New Roman"/>
                <w:sz w:val="20"/>
                <w:szCs w:val="20"/>
              </w:rPr>
            </w:pPr>
          </w:p>
          <w:p>
            <w:pPr>
              <w:wordWrap w:val="0"/>
              <w:snapToGrid w:val="0"/>
              <w:jc w:val="right"/>
              <w:rPr>
                <w:rFonts w:ascii="Times New Roman" w:hAnsi="Times New Roman" w:eastAsia="方正仿宋简体" w:cs="Times New Roman"/>
                <w:sz w:val="18"/>
                <w:szCs w:val="18"/>
                <w:lang w:bidi="ar"/>
              </w:rPr>
            </w:pPr>
            <w:r>
              <w:rPr>
                <w:rFonts w:ascii="Times New Roman" w:hAnsi="Times New Roman" w:eastAsia="仿宋_GB2312" w:cs="Times New Roman"/>
                <w:sz w:val="20"/>
                <w:szCs w:val="20"/>
                <w:lang w:bidi="ar"/>
              </w:rPr>
              <w:t xml:space="preserve"> 年    月    日      </w:t>
            </w:r>
            <w:r>
              <w:rPr>
                <w:rFonts w:ascii="Times New Roman" w:hAnsi="Times New Roman" w:eastAsia="方正仿宋简体" w:cs="Times New Roman"/>
                <w:sz w:val="18"/>
                <w:szCs w:val="18"/>
                <w:lang w:bidi="ar"/>
              </w:rPr>
              <w:t xml:space="preserve">         </w:t>
            </w:r>
          </w:p>
          <w:p>
            <w:pPr>
              <w:snapToGrid w:val="0"/>
              <w:jc w:val="right"/>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p>
            <w:pPr>
              <w:rPr>
                <w:rFonts w:ascii="Times New Roman" w:hAnsi="Times New Roman" w:eastAsia="方正仿宋简体" w:cs="Times New Roman"/>
                <w:sz w:val="18"/>
                <w:szCs w:val="18"/>
                <w:lang w:bidi="ar"/>
              </w:rPr>
            </w:pPr>
          </w:p>
        </w:tc>
      </w:tr>
    </w:tbl>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8701D60-BDCC-46B0-87E8-94B67C89183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E1A1A960-0EAF-4BF2-BF0F-1F4B4DB06DD4}"/>
  </w:font>
  <w:font w:name="方正小标宋简体">
    <w:panose1 w:val="03000509000000000000"/>
    <w:charset w:val="86"/>
    <w:family w:val="auto"/>
    <w:pitch w:val="default"/>
    <w:sig w:usb0="00000001" w:usb1="080E0000" w:usb2="00000000" w:usb3="00000000" w:csb0="00040000" w:csb1="00000000"/>
    <w:embedRegular r:id="rId3" w:fontKey="{58DD1BE9-E0AA-492A-BDAD-1B22F41A1DED}"/>
  </w:font>
  <w:font w:name="楷体_GB2312">
    <w:altName w:val="楷体"/>
    <w:panose1 w:val="00000000000000000000"/>
    <w:charset w:val="86"/>
    <w:family w:val="modern"/>
    <w:pitch w:val="default"/>
    <w:sig w:usb0="00000000" w:usb1="00000000" w:usb2="00000000" w:usb3="00000000" w:csb0="00040000" w:csb1="00000000"/>
    <w:embedRegular r:id="rId4" w:fontKey="{DD4AA219-D523-41F9-8443-7E70591BD474}"/>
  </w:font>
  <w:font w:name="仿宋_GB2312">
    <w:panose1 w:val="02010609030101010101"/>
    <w:charset w:val="86"/>
    <w:family w:val="script"/>
    <w:pitch w:val="default"/>
    <w:sig w:usb0="00000001" w:usb1="080E0000" w:usb2="00000000" w:usb3="00000000" w:csb0="00040000" w:csb1="00000000"/>
    <w:embedRegular r:id="rId5" w:fontKey="{EB36801F-E9EA-4E0C-8177-04AA612B7A02}"/>
  </w:font>
  <w:font w:name="方正仿宋简体">
    <w:altName w:val="微软雅黑"/>
    <w:panose1 w:val="02010601030101010101"/>
    <w:charset w:val="86"/>
    <w:family w:val="script"/>
    <w:pitch w:val="default"/>
    <w:sig w:usb0="00000000" w:usb1="00000000" w:usb2="00000000" w:usb3="00000000" w:csb0="00040000" w:csb1="00000000"/>
    <w:embedRegular r:id="rId6" w:fontKey="{EF311F08-66D5-4F85-9DFF-2F2D918DFA5E}"/>
  </w:font>
  <w:font w:name="楷体">
    <w:panose1 w:val="02010609060101010101"/>
    <w:charset w:val="86"/>
    <w:family w:val="auto"/>
    <w:pitch w:val="default"/>
    <w:sig w:usb0="800002BF" w:usb1="38CF7CFA" w:usb2="00000016" w:usb3="00000000" w:csb0="00040001" w:csb1="00000000"/>
    <w:embedRegular r:id="rId7" w:fontKey="{48980A2A-BB63-497A-9A97-98FFDEB01F86}"/>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sdt>
      <w:sdtPr>
        <w:rPr>
          <w:sz w:val="28"/>
          <w:szCs w:val="28"/>
        </w:rPr>
        <w:id w:val="-176116451"/>
      </w:sdtPr>
      <w:sdtEndPr>
        <w:rPr>
          <w:sz w:val="28"/>
          <w:szCs w:val="28"/>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8"/>
        <w:szCs w:val="28"/>
      </w:rPr>
    </w:pPr>
    <w:sdt>
      <w:sdtPr>
        <w:rPr>
          <w:sz w:val="28"/>
          <w:szCs w:val="28"/>
        </w:rPr>
        <w:id w:val="-176116451"/>
      </w:sdtPr>
      <w:sdtEndPr>
        <w:rPr>
          <w:sz w:val="28"/>
          <w:szCs w:val="28"/>
        </w:rPr>
      </w:sdtEnd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5"/>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32</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1NmJiZDEzNmYyNGNhMDMwZmYxMmVkNTkyMGYwMWYifQ=="/>
  </w:docVars>
  <w:rsids>
    <w:rsidRoot w:val="00000000"/>
    <w:rsid w:val="02CB619B"/>
    <w:rsid w:val="056D353A"/>
    <w:rsid w:val="06223EA0"/>
    <w:rsid w:val="06B70F10"/>
    <w:rsid w:val="073836D3"/>
    <w:rsid w:val="079C30E4"/>
    <w:rsid w:val="08484032"/>
    <w:rsid w:val="09A80FD6"/>
    <w:rsid w:val="0BF3360E"/>
    <w:rsid w:val="0E8B00F5"/>
    <w:rsid w:val="0EC57F43"/>
    <w:rsid w:val="0FF327CF"/>
    <w:rsid w:val="105A290D"/>
    <w:rsid w:val="10977872"/>
    <w:rsid w:val="128F2D41"/>
    <w:rsid w:val="154507A0"/>
    <w:rsid w:val="18345CA0"/>
    <w:rsid w:val="18351C95"/>
    <w:rsid w:val="1BD01913"/>
    <w:rsid w:val="1C250273"/>
    <w:rsid w:val="1C6C5EA1"/>
    <w:rsid w:val="1CF87735"/>
    <w:rsid w:val="1D020D68"/>
    <w:rsid w:val="1D3162FC"/>
    <w:rsid w:val="1D7B4783"/>
    <w:rsid w:val="1DBA2C3C"/>
    <w:rsid w:val="1FE05840"/>
    <w:rsid w:val="1FFB7F69"/>
    <w:rsid w:val="20077873"/>
    <w:rsid w:val="22477D4B"/>
    <w:rsid w:val="2385168D"/>
    <w:rsid w:val="25223A4A"/>
    <w:rsid w:val="25522BA4"/>
    <w:rsid w:val="255617B4"/>
    <w:rsid w:val="25975057"/>
    <w:rsid w:val="25C22703"/>
    <w:rsid w:val="26EA6BA5"/>
    <w:rsid w:val="27CD41DA"/>
    <w:rsid w:val="29470968"/>
    <w:rsid w:val="295C3C6A"/>
    <w:rsid w:val="2B4B494A"/>
    <w:rsid w:val="2C30164F"/>
    <w:rsid w:val="31807FCD"/>
    <w:rsid w:val="33155361"/>
    <w:rsid w:val="336E54B0"/>
    <w:rsid w:val="34735C66"/>
    <w:rsid w:val="34CA0BC8"/>
    <w:rsid w:val="354E5F8C"/>
    <w:rsid w:val="38504684"/>
    <w:rsid w:val="38C557B7"/>
    <w:rsid w:val="38E73CA6"/>
    <w:rsid w:val="39A52F16"/>
    <w:rsid w:val="3A7309A8"/>
    <w:rsid w:val="3A9D78E9"/>
    <w:rsid w:val="3B4B6D99"/>
    <w:rsid w:val="3D2E4D81"/>
    <w:rsid w:val="3FD45814"/>
    <w:rsid w:val="407B06A8"/>
    <w:rsid w:val="42416B41"/>
    <w:rsid w:val="448734FB"/>
    <w:rsid w:val="44A973E3"/>
    <w:rsid w:val="45904AA1"/>
    <w:rsid w:val="45AF4816"/>
    <w:rsid w:val="45B10727"/>
    <w:rsid w:val="46576E37"/>
    <w:rsid w:val="46C95B1B"/>
    <w:rsid w:val="47144B28"/>
    <w:rsid w:val="488C4D1B"/>
    <w:rsid w:val="493D00FA"/>
    <w:rsid w:val="4A7F66F1"/>
    <w:rsid w:val="4B5A4A66"/>
    <w:rsid w:val="4D4A693A"/>
    <w:rsid w:val="4E6656E1"/>
    <w:rsid w:val="4E9E65B0"/>
    <w:rsid w:val="51D64607"/>
    <w:rsid w:val="54236053"/>
    <w:rsid w:val="57F74CC6"/>
    <w:rsid w:val="5F2176D5"/>
    <w:rsid w:val="5F9A2F47"/>
    <w:rsid w:val="61D605B8"/>
    <w:rsid w:val="62C864BD"/>
    <w:rsid w:val="632E6FDA"/>
    <w:rsid w:val="641C32D6"/>
    <w:rsid w:val="669E78F0"/>
    <w:rsid w:val="66B4759A"/>
    <w:rsid w:val="69032B47"/>
    <w:rsid w:val="6945700A"/>
    <w:rsid w:val="6B827EC3"/>
    <w:rsid w:val="6C441742"/>
    <w:rsid w:val="72340912"/>
    <w:rsid w:val="74270AF3"/>
    <w:rsid w:val="74A9463F"/>
    <w:rsid w:val="74B6235E"/>
    <w:rsid w:val="751D6443"/>
    <w:rsid w:val="7DC07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w:basedOn w:val="1"/>
    <w:next w:val="4"/>
    <w:qFormat/>
    <w:uiPriority w:val="0"/>
    <w:pPr>
      <w:spacing w:after="120"/>
    </w:p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bCs/>
    </w:rPr>
  </w:style>
  <w:style w:type="paragraph" w:customStyle="1" w:styleId="11">
    <w:name w:val="首行缩进"/>
    <w:basedOn w:val="1"/>
    <w:qFormat/>
    <w:uiPriority w:val="0"/>
  </w:style>
  <w:style w:type="table" w:customStyle="1" w:styleId="12">
    <w:name w:val="网格型1"/>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3">
    <w:name w:val="标题二2（楷体标题）"/>
    <w:basedOn w:val="1"/>
    <w:qFormat/>
    <w:uiPriority w:val="0"/>
    <w:pPr>
      <w:spacing w:line="560" w:lineRule="exact"/>
      <w:jc w:val="center"/>
    </w:pPr>
    <w:rPr>
      <w:rFonts w:ascii="宋体" w:hAnsi="宋体" w:cs="宋体"/>
      <w:sz w:val="28"/>
      <w:szCs w:val="28"/>
    </w:rPr>
  </w:style>
  <w:style w:type="character" w:customStyle="1" w:styleId="14">
    <w:name w:val="font41"/>
    <w:basedOn w:val="9"/>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5216</Words>
  <Characters>5466</Characters>
  <Lines>0</Lines>
  <Paragraphs>0</Paragraphs>
  <TotalTime>36</TotalTime>
  <ScaleCrop>false</ScaleCrop>
  <LinksUpToDate>false</LinksUpToDate>
  <CharactersWithSpaces>5542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2022-11-24T10:44:00Z</dcterms:created>
  <dc:creator>DELL</dc:creator>
  <cp:lastModifiedBy>DELL</cp:lastModifiedBy>
  <cp:lastPrinted>2023-11-30T08:50:00Z</cp:lastPrinted>
  <dcterms:modified xsi:type="dcterms:W3CDTF">2023-12-02T04:09:11Z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4C7C59A5BFC84F07BE76C60C268CC59C_13</vt:lpwstr>
  </property>
</Properties>
</file>