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outlineLvl w:val="0"/>
        <w:rPr>
          <w:rFonts w:ascii="Times New Roman" w:hAnsi="Times New Roman" w:eastAsia="黑体" w:cs="Times New Roman"/>
          <w:sz w:val="28"/>
          <w:szCs w:val="28"/>
        </w:rPr>
      </w:pPr>
      <w:r>
        <w:rPr>
          <w:rFonts w:ascii="Times New Roman" w:hAnsi="Times New Roman" w:eastAsia="黑体" w:cs="Times New Roman"/>
          <w:sz w:val="28"/>
          <w:szCs w:val="28"/>
        </w:rPr>
        <w:t>附件5</w:t>
      </w:r>
    </w:p>
    <w:p>
      <w:pPr>
        <w:jc w:val="center"/>
        <w:rPr>
          <w:rFonts w:ascii="Times New Roman" w:hAnsi="Times New Roman" w:eastAsia="方正小标宋简体" w:cs="Times New Roman"/>
          <w:snapToGrid w:val="0"/>
          <w:spacing w:val="-10"/>
          <w:sz w:val="44"/>
          <w:szCs w:val="44"/>
        </w:rPr>
      </w:pPr>
    </w:p>
    <w:p>
      <w:pPr>
        <w:jc w:val="center"/>
        <w:rPr>
          <w:rFonts w:ascii="Times New Roman" w:hAnsi="Times New Roman" w:eastAsia="方正小标宋简体" w:cs="Times New Roman"/>
          <w:snapToGrid w:val="0"/>
          <w:spacing w:val="-10"/>
          <w:sz w:val="44"/>
          <w:szCs w:val="44"/>
        </w:rPr>
      </w:pPr>
    </w:p>
    <w:p>
      <w:pPr>
        <w:snapToGrid w:val="0"/>
        <w:jc w:val="center"/>
        <w:textAlignment w:val="baseline"/>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高职本科拟招生专业信息表</w:t>
      </w:r>
    </w:p>
    <w:p>
      <w:pPr>
        <w:jc w:val="center"/>
        <w:outlineLvl w:val="0"/>
        <w:rPr>
          <w:rFonts w:ascii="Times New Roman" w:hAnsi="Times New Roman" w:eastAsia="楷体_GB2312" w:cs="Times New Roman"/>
          <w:b/>
          <w:bCs/>
          <w:snapToGrid w:val="0"/>
          <w:spacing w:val="-10"/>
          <w:sz w:val="44"/>
          <w:szCs w:val="44"/>
        </w:rPr>
      </w:pPr>
      <w:r>
        <w:rPr>
          <w:rFonts w:ascii="Times New Roman" w:hAnsi="Times New Roman" w:eastAsia="方正小标宋简体" w:cs="Times New Roman"/>
          <w:bCs/>
          <w:sz w:val="36"/>
          <w:szCs w:val="36"/>
        </w:rPr>
        <w:t>（新增设）</w:t>
      </w:r>
    </w:p>
    <w:p>
      <w:pPr>
        <w:ind w:left="930" w:leftChars="443"/>
        <w:rPr>
          <w:rFonts w:ascii="Times New Roman" w:hAnsi="Times New Roman" w:eastAsia="楷体_GB2312" w:cs="Times New Roman"/>
          <w:sz w:val="32"/>
          <w:szCs w:val="32"/>
          <w:lang w:bidi="ar"/>
        </w:rPr>
      </w:pPr>
    </w:p>
    <w:tbl>
      <w:tblPr>
        <w:tblStyle w:val="14"/>
        <w:tblW w:w="8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20"/>
        <w:gridCol w:w="3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学校名称(盖章)：</w:t>
            </w:r>
          </w:p>
        </w:tc>
        <w:tc>
          <w:tcPr>
            <w:tcW w:w="3891" w:type="dxa"/>
          </w:tcPr>
          <w:p>
            <w:pPr>
              <w:widowControl/>
              <w:overflowPunct w:val="0"/>
              <w:adjustRightInd w:val="0"/>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广西城市职业大学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学校主管部门：</w:t>
            </w:r>
          </w:p>
        </w:tc>
        <w:tc>
          <w:tcPr>
            <w:tcW w:w="3891" w:type="dxa"/>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广西壮族自治区教育厅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专业名称：</w:t>
            </w:r>
          </w:p>
        </w:tc>
        <w:tc>
          <w:tcPr>
            <w:tcW w:w="3891" w:type="dxa"/>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新能源汽车工程技术</w:t>
            </w:r>
          </w:p>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（专升本）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专业代码：</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260702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修业年限：</w:t>
            </w:r>
          </w:p>
        </w:tc>
        <w:tc>
          <w:tcPr>
            <w:tcW w:w="3891" w:type="dxa"/>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拟招生数：</w:t>
            </w:r>
          </w:p>
        </w:tc>
        <w:tc>
          <w:tcPr>
            <w:tcW w:w="3891" w:type="dxa"/>
          </w:tcPr>
          <w:p>
            <w:pPr>
              <w:widowControl/>
              <w:overflowPunct w:val="0"/>
              <w:adjustRightInd w:val="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pacing w:val="-20"/>
                <w:sz w:val="32"/>
                <w:szCs w:val="32"/>
                <w:lang w:bidi="ar"/>
              </w:rPr>
              <w:t>专业负责人</w:t>
            </w:r>
            <w:r>
              <w:rPr>
                <w:rFonts w:ascii="Times New Roman" w:hAnsi="Times New Roman" w:eastAsia="仿宋_GB2312" w:cs="Times New Roman"/>
                <w:sz w:val="32"/>
                <w:szCs w:val="32"/>
                <w:lang w:bidi="ar"/>
              </w:rPr>
              <w:t>：</w:t>
            </w:r>
          </w:p>
        </w:tc>
        <w:tc>
          <w:tcPr>
            <w:tcW w:w="3891" w:type="dxa"/>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李秋琴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联系电话：</w:t>
            </w:r>
          </w:p>
        </w:tc>
        <w:tc>
          <w:tcPr>
            <w:tcW w:w="3891" w:type="dxa"/>
          </w:tcPr>
          <w:p>
            <w:pPr>
              <w:widowControl/>
              <w:overflowPunct w:val="0"/>
              <w:adjustRightInd w:val="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13607878746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申请时间：</w:t>
            </w:r>
          </w:p>
        </w:tc>
        <w:tc>
          <w:tcPr>
            <w:tcW w:w="3891" w:type="dxa"/>
          </w:tcPr>
          <w:p>
            <w:pPr>
              <w:widowControl/>
              <w:overflowPunct w:val="0"/>
              <w:adjustRightInd w:val="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法定代表人签字：</w:t>
            </w:r>
          </w:p>
        </w:tc>
        <w:tc>
          <w:tcPr>
            <w:tcW w:w="3891" w:type="dxa"/>
          </w:tcPr>
          <w:p>
            <w:pPr>
              <w:widowControl/>
              <w:overflowPunct w:val="0"/>
              <w:adjustRightInd w:val="0"/>
              <w:jc w:val="right"/>
              <w:rPr>
                <w:rFonts w:ascii="Times New Roman" w:hAnsi="Times New Roman" w:eastAsia="仿宋_GB2312" w:cs="Times New Roman"/>
                <w:sz w:val="32"/>
                <w:szCs w:val="32"/>
              </w:rPr>
            </w:pPr>
          </w:p>
        </w:tc>
      </w:tr>
    </w:tbl>
    <w:p>
      <w:pPr>
        <w:ind w:left="930" w:leftChars="443"/>
        <w:rPr>
          <w:rFonts w:ascii="Times New Roman" w:hAnsi="Times New Roman" w:eastAsia="楷体_GB2312" w:cs="Times New Roman"/>
          <w:sz w:val="32"/>
          <w:szCs w:val="32"/>
          <w:lang w:bidi="ar"/>
        </w:rPr>
      </w:pPr>
    </w:p>
    <w:p>
      <w:pPr>
        <w:ind w:left="930" w:leftChars="443"/>
        <w:rPr>
          <w:rFonts w:ascii="Times New Roman" w:hAnsi="Times New Roman" w:eastAsia="楷体_GB2312" w:cs="Times New Roman"/>
          <w:sz w:val="32"/>
          <w:szCs w:val="32"/>
          <w:lang w:bidi="ar"/>
        </w:rPr>
      </w:pPr>
    </w:p>
    <w:p>
      <w:pPr>
        <w:pStyle w:val="13"/>
        <w:rPr>
          <w:rFonts w:ascii="Times New Roman" w:hAnsi="Times New Roman" w:eastAsia="楷体_GB2312" w:cs="Times New Roman"/>
          <w:sz w:val="32"/>
          <w:szCs w:val="32"/>
          <w:lang w:bidi="ar"/>
        </w:rPr>
      </w:pPr>
    </w:p>
    <w:p>
      <w:pPr>
        <w:pStyle w:val="13"/>
        <w:rPr>
          <w:rFonts w:ascii="Times New Roman" w:hAnsi="Times New Roman" w:eastAsia="楷体_GB2312" w:cs="Times New Roman"/>
          <w:sz w:val="32"/>
          <w:szCs w:val="32"/>
          <w:lang w:bidi="ar"/>
        </w:rPr>
      </w:pPr>
    </w:p>
    <w:p>
      <w:pPr>
        <w:ind w:left="930" w:leftChars="443"/>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6"/>
          <w:szCs w:val="24"/>
        </w:rPr>
      </w:pPr>
      <w:r>
        <w:rPr>
          <w:rFonts w:ascii="Times New Roman" w:hAnsi="Times New Roman" w:eastAsia="仿宋_GB2312" w:cs="Times New Roman"/>
          <w:sz w:val="36"/>
        </w:rPr>
        <w:t>中华人民共和国教育部制</w:t>
      </w:r>
    </w:p>
    <w:p>
      <w:pPr>
        <w:rPr>
          <w:rFonts w:hint="eastAsia" w:ascii="Times New Roman" w:hAnsi="Times New Roman" w:eastAsia="楷体_GB2312" w:cs="Times New Roman"/>
          <w:sz w:val="32"/>
          <w:szCs w:val="32"/>
          <w:lang w:eastAsia="zh-CN" w:bidi="ar"/>
        </w:rPr>
        <w:sectPr>
          <w:footerReference r:id="rId4" w:type="first"/>
          <w:footerReference r:id="rId3" w:type="default"/>
          <w:pgSz w:w="11906" w:h="16838"/>
          <w:pgMar w:top="1440" w:right="1803" w:bottom="1440" w:left="1803" w:header="851" w:footer="850" w:gutter="0"/>
          <w:pgNumType w:fmt="decimal"/>
          <w:cols w:space="720" w:num="1"/>
          <w:titlePg/>
          <w:docGrid w:type="lines" w:linePitch="579" w:charSpace="21679"/>
        </w:sectPr>
      </w:pPr>
    </w:p>
    <w:p>
      <w:pPr>
        <w:jc w:val="center"/>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2"/>
          <w:szCs w:val="32"/>
          <w:lang w:bidi="ar"/>
        </w:rPr>
      </w:pPr>
    </w:p>
    <w:p>
      <w:pPr>
        <w:jc w:val="center"/>
        <w:rPr>
          <w:rFonts w:hint="eastAsia" w:ascii="仿宋" w:hAnsi="仿宋" w:eastAsia="仿宋" w:cs="仿宋"/>
          <w:sz w:val="32"/>
          <w:szCs w:val="32"/>
          <w:lang w:bidi="ar"/>
        </w:rPr>
      </w:pPr>
      <w:r>
        <w:rPr>
          <w:rFonts w:hint="eastAsia" w:ascii="仿宋" w:hAnsi="仿宋" w:eastAsia="仿宋" w:cs="仿宋"/>
          <w:sz w:val="32"/>
          <w:szCs w:val="32"/>
          <w:lang w:bidi="ar"/>
        </w:rPr>
        <w:t>填表说明</w:t>
      </w:r>
    </w:p>
    <w:p>
      <w:pPr>
        <w:jc w:val="center"/>
        <w:rPr>
          <w:rFonts w:hint="eastAsia" w:ascii="仿宋" w:hAnsi="仿宋" w:eastAsia="仿宋" w:cs="仿宋"/>
          <w:sz w:val="32"/>
          <w:szCs w:val="32"/>
          <w:lang w:bidi="ar"/>
        </w:rPr>
      </w:pPr>
    </w:p>
    <w:p>
      <w:pPr>
        <w:ind w:firstLine="640" w:firstLineChars="200"/>
        <w:jc w:val="left"/>
        <w:rPr>
          <w:rFonts w:hint="eastAsia" w:ascii="仿宋" w:hAnsi="仿宋" w:eastAsia="仿宋" w:cs="仿宋"/>
          <w:sz w:val="32"/>
          <w:szCs w:val="32"/>
          <w:lang w:bidi="ar"/>
        </w:rPr>
      </w:pPr>
      <w:r>
        <w:rPr>
          <w:rFonts w:hint="eastAsia" w:ascii="仿宋" w:hAnsi="仿宋" w:eastAsia="仿宋" w:cs="仿宋"/>
          <w:sz w:val="32"/>
          <w:szCs w:val="32"/>
          <w:lang w:bidi="ar"/>
        </w:rPr>
        <w:t>1.本表用于各学校填报新增拟招生的高职本科教育专业信息。</w:t>
      </w:r>
    </w:p>
    <w:p>
      <w:pPr>
        <w:ind w:firstLine="640" w:firstLineChars="200"/>
        <w:jc w:val="left"/>
        <w:rPr>
          <w:rFonts w:hint="eastAsia" w:ascii="仿宋" w:hAnsi="仿宋" w:eastAsia="仿宋" w:cs="仿宋"/>
          <w:sz w:val="32"/>
          <w:szCs w:val="32"/>
          <w:lang w:bidi="ar"/>
        </w:rPr>
      </w:pPr>
      <w:r>
        <w:rPr>
          <w:rFonts w:hint="eastAsia" w:ascii="仿宋" w:hAnsi="仿宋" w:eastAsia="仿宋" w:cs="仿宋"/>
          <w:sz w:val="32"/>
          <w:szCs w:val="32"/>
          <w:lang w:bidi="ar"/>
        </w:rPr>
        <w:t>2.根据《本科层次职业教育专业设置管理办法（试行）》（以下简称《办法》）的要求如实填报。</w:t>
      </w:r>
    </w:p>
    <w:p>
      <w:pPr>
        <w:ind w:firstLine="640" w:firstLineChars="200"/>
        <w:jc w:val="left"/>
        <w:rPr>
          <w:rFonts w:hint="eastAsia" w:ascii="仿宋" w:hAnsi="仿宋" w:eastAsia="仿宋" w:cs="仿宋"/>
          <w:sz w:val="32"/>
          <w:szCs w:val="32"/>
          <w:lang w:bidi="ar"/>
        </w:rPr>
      </w:pPr>
      <w:r>
        <w:rPr>
          <w:rFonts w:hint="eastAsia" w:ascii="仿宋" w:hAnsi="仿宋" w:eastAsia="仿宋" w:cs="仿宋"/>
          <w:sz w:val="32"/>
          <w:szCs w:val="32"/>
          <w:lang w:bidi="ar"/>
        </w:rPr>
        <w:t>3.表中所填内容要言简意赅，如有需要可另附报告，一个专业对应的报告单独一册，双面打印，单独装订。</w:t>
      </w:r>
    </w:p>
    <w:p>
      <w:pPr>
        <w:ind w:firstLine="640" w:firstLineChars="200"/>
        <w:jc w:val="left"/>
        <w:rPr>
          <w:rFonts w:hint="eastAsia" w:ascii="仿宋" w:hAnsi="仿宋" w:eastAsia="仿宋" w:cs="仿宋"/>
          <w:sz w:val="32"/>
          <w:szCs w:val="32"/>
          <w:lang w:bidi="ar"/>
        </w:rPr>
      </w:pPr>
      <w:r>
        <w:rPr>
          <w:rFonts w:hint="eastAsia" w:ascii="仿宋" w:hAnsi="仿宋" w:eastAsia="仿宋" w:cs="仿宋"/>
          <w:sz w:val="32"/>
          <w:szCs w:val="32"/>
          <w:lang w:bidi="ar"/>
        </w:rPr>
        <w:t>4.学校承诺本表所填师资、办学条件等基本情况真实、准确，如有虚假，一经发现，严肃处理。</w:t>
      </w: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snapToGrid w:val="0"/>
        <w:jc w:val="center"/>
        <w:rPr>
          <w:rFonts w:ascii="Times New Roman" w:hAnsi="Times New Roman" w:eastAsia="方正仿宋简体" w:cs="Times New Roman"/>
          <w:sz w:val="24"/>
          <w:szCs w:val="24"/>
        </w:rPr>
        <w:sectPr>
          <w:footerReference r:id="rId6" w:type="first"/>
          <w:footerReference r:id="rId5" w:type="default"/>
          <w:pgSz w:w="11906" w:h="16838"/>
          <w:pgMar w:top="1440" w:right="1803" w:bottom="1440" w:left="1803" w:header="851" w:footer="850" w:gutter="0"/>
          <w:pgNumType w:fmt="decimal" w:start="1"/>
          <w:cols w:space="720" w:num="1"/>
          <w:titlePg/>
          <w:docGrid w:type="lines" w:linePitch="579" w:charSpace="21679"/>
        </w:sectPr>
      </w:pPr>
    </w:p>
    <w:tbl>
      <w:tblPr>
        <w:tblStyle w:val="9"/>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801"/>
        <w:gridCol w:w="1606"/>
        <w:gridCol w:w="2646"/>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8732" w:type="dxa"/>
            <w:gridSpan w:val="5"/>
            <w:vAlign w:val="center"/>
          </w:tcPr>
          <w:p>
            <w:pPr>
              <w:snapToGrid w:val="0"/>
              <w:jc w:val="left"/>
              <w:rPr>
                <w:rFonts w:hint="eastAsia" w:ascii="仿宋" w:hAnsi="仿宋" w:eastAsia="仿宋" w:cs="仿宋"/>
                <w:sz w:val="24"/>
                <w:szCs w:val="24"/>
              </w:rPr>
            </w:pPr>
            <w:r>
              <w:rPr>
                <w:rFonts w:hint="eastAsia" w:ascii="仿宋" w:hAnsi="仿宋" w:eastAsia="仿宋" w:cs="仿宋"/>
                <w:b/>
                <w:bCs/>
                <w:sz w:val="28"/>
                <w:szCs w:val="28"/>
              </w:rPr>
              <w:t>拟招生专业基本情况：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2689" w:type="dxa"/>
            <w:gridSpan w:val="2"/>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拟招生专业名称</w:t>
            </w:r>
          </w:p>
        </w:tc>
        <w:tc>
          <w:tcPr>
            <w:tcW w:w="1606"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新能源汽车工程技术</w:t>
            </w:r>
          </w:p>
          <w:p>
            <w:pPr>
              <w:snapToGrid w:val="0"/>
              <w:jc w:val="center"/>
              <w:rPr>
                <w:rFonts w:hint="eastAsia" w:ascii="仿宋" w:hAnsi="仿宋" w:eastAsia="仿宋" w:cs="仿宋"/>
                <w:sz w:val="24"/>
                <w:szCs w:val="24"/>
              </w:rPr>
            </w:pPr>
            <w:r>
              <w:rPr>
                <w:rFonts w:hint="eastAsia" w:ascii="仿宋" w:hAnsi="仿宋" w:eastAsia="仿宋" w:cs="仿宋"/>
                <w:sz w:val="24"/>
                <w:szCs w:val="24"/>
              </w:rPr>
              <w:t>（专升本）</w:t>
            </w:r>
          </w:p>
        </w:tc>
        <w:tc>
          <w:tcPr>
            <w:tcW w:w="2646"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专业代码</w:t>
            </w:r>
          </w:p>
        </w:tc>
        <w:tc>
          <w:tcPr>
            <w:tcW w:w="1791"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260702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2689" w:type="dxa"/>
            <w:gridSpan w:val="2"/>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办学性质</w:t>
            </w:r>
          </w:p>
        </w:tc>
        <w:tc>
          <w:tcPr>
            <w:tcW w:w="1606"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民办</w:t>
            </w:r>
          </w:p>
        </w:tc>
        <w:tc>
          <w:tcPr>
            <w:tcW w:w="2646"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学位授予学科门类</w:t>
            </w:r>
          </w:p>
        </w:tc>
        <w:tc>
          <w:tcPr>
            <w:tcW w:w="1791"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2689" w:type="dxa"/>
            <w:gridSpan w:val="2"/>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202</w:t>
            </w:r>
            <w:r>
              <w:rPr>
                <w:rFonts w:hint="eastAsia" w:ascii="仿宋" w:hAnsi="仿宋" w:eastAsia="仿宋" w:cs="仿宋"/>
                <w:sz w:val="24"/>
                <w:szCs w:val="24"/>
                <w:lang w:val="en-US" w:eastAsia="zh-CN"/>
              </w:rPr>
              <w:t>4</w:t>
            </w:r>
            <w:r>
              <w:rPr>
                <w:rFonts w:hint="eastAsia" w:ascii="仿宋" w:hAnsi="仿宋" w:eastAsia="仿宋" w:cs="仿宋"/>
                <w:sz w:val="24"/>
                <w:szCs w:val="24"/>
              </w:rPr>
              <w:t>年拟招生数（人）</w:t>
            </w:r>
          </w:p>
        </w:tc>
        <w:tc>
          <w:tcPr>
            <w:tcW w:w="1606" w:type="dxa"/>
            <w:vAlign w:val="center"/>
          </w:tcPr>
          <w:p>
            <w:pPr>
              <w:snapToGrid w:val="0"/>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100</w:t>
            </w:r>
          </w:p>
        </w:tc>
        <w:tc>
          <w:tcPr>
            <w:tcW w:w="2646"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学制</w:t>
            </w:r>
          </w:p>
        </w:tc>
        <w:tc>
          <w:tcPr>
            <w:tcW w:w="1791"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89" w:type="dxa"/>
            <w:gridSpan w:val="2"/>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606"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1496</w:t>
            </w:r>
          </w:p>
        </w:tc>
        <w:tc>
          <w:tcPr>
            <w:tcW w:w="2646"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实践教学学时</w:t>
            </w:r>
          </w:p>
        </w:tc>
        <w:tc>
          <w:tcPr>
            <w:tcW w:w="1791"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89" w:type="dxa"/>
            <w:gridSpan w:val="2"/>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实践教学学时占总学时的比例</w:t>
            </w:r>
          </w:p>
        </w:tc>
        <w:tc>
          <w:tcPr>
            <w:tcW w:w="1606"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55</w:t>
            </w:r>
            <w:r>
              <w:rPr>
                <w:rFonts w:hint="eastAsia" w:ascii="仿宋" w:hAnsi="仿宋" w:eastAsia="仿宋" w:cs="仿宋"/>
                <w:sz w:val="24"/>
                <w:szCs w:val="24"/>
                <w:lang w:val="en-US" w:eastAsia="zh-CN"/>
              </w:rPr>
              <w:t>.35</w:t>
            </w:r>
            <w:r>
              <w:rPr>
                <w:rFonts w:hint="eastAsia" w:ascii="仿宋" w:hAnsi="仿宋" w:eastAsia="仿宋" w:cs="仿宋"/>
                <w:sz w:val="24"/>
                <w:szCs w:val="24"/>
              </w:rPr>
              <w:t>%</w:t>
            </w:r>
          </w:p>
        </w:tc>
        <w:tc>
          <w:tcPr>
            <w:tcW w:w="2646"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实验实训项目（任务）能够开出率（%）</w:t>
            </w:r>
          </w:p>
        </w:tc>
        <w:tc>
          <w:tcPr>
            <w:tcW w:w="1791"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689" w:type="dxa"/>
            <w:gridSpan w:val="2"/>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“双师型”教师</w:t>
            </w:r>
          </w:p>
          <w:p>
            <w:pPr>
              <w:snapToGrid w:val="0"/>
              <w:jc w:val="center"/>
              <w:rPr>
                <w:rFonts w:hint="eastAsia" w:ascii="仿宋" w:hAnsi="仿宋" w:eastAsia="仿宋" w:cs="仿宋"/>
                <w:sz w:val="24"/>
                <w:szCs w:val="24"/>
              </w:rPr>
            </w:pPr>
            <w:r>
              <w:rPr>
                <w:rFonts w:hint="eastAsia" w:ascii="仿宋" w:hAnsi="仿宋" w:eastAsia="仿宋" w:cs="仿宋"/>
                <w:sz w:val="24"/>
                <w:szCs w:val="24"/>
              </w:rPr>
              <w:t>占比（%）</w:t>
            </w:r>
          </w:p>
        </w:tc>
        <w:tc>
          <w:tcPr>
            <w:tcW w:w="1606" w:type="dxa"/>
            <w:vAlign w:val="center"/>
          </w:tcPr>
          <w:p>
            <w:pPr>
              <w:snapToGrid w:val="0"/>
              <w:jc w:val="center"/>
              <w:rPr>
                <w:rFonts w:hint="default" w:ascii="仿宋" w:hAnsi="仿宋" w:eastAsia="仿宋" w:cs="仿宋"/>
                <w:sz w:val="24"/>
                <w:szCs w:val="24"/>
                <w:lang w:val="en-US"/>
              </w:rPr>
            </w:pPr>
            <w:r>
              <w:rPr>
                <w:rFonts w:hint="eastAsia" w:ascii="仿宋" w:hAnsi="仿宋" w:eastAsia="仿宋" w:cs="仿宋"/>
                <w:sz w:val="24"/>
                <w:szCs w:val="24"/>
                <w:highlight w:val="none"/>
                <w:lang w:val="en-US" w:eastAsia="zh-CN"/>
              </w:rPr>
              <w:t>52.78</w:t>
            </w:r>
          </w:p>
        </w:tc>
        <w:tc>
          <w:tcPr>
            <w:tcW w:w="2646"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兼职教师数（人）</w:t>
            </w:r>
          </w:p>
        </w:tc>
        <w:tc>
          <w:tcPr>
            <w:tcW w:w="1791" w:type="dxa"/>
            <w:vAlign w:val="center"/>
          </w:tcPr>
          <w:p>
            <w:pPr>
              <w:snapToGrid w:val="0"/>
              <w:jc w:val="center"/>
              <w:rPr>
                <w:rFonts w:hint="default" w:ascii="仿宋" w:hAnsi="仿宋" w:cs="仿宋" w:eastAsiaTheme="minorEastAsia"/>
                <w:sz w:val="24"/>
                <w:szCs w:val="24"/>
                <w:lang w:val="en-US" w:eastAsia="zh-CN"/>
              </w:rPr>
            </w:pPr>
            <w:r>
              <w:rPr>
                <w:rFonts w:hint="eastAsia" w:ascii="仿宋" w:hAnsi="仿宋" w:eastAsia="仿宋" w:cs="仿宋"/>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689" w:type="dxa"/>
            <w:gridSpan w:val="2"/>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兼职教师计划承担的专业课授课学时占专业课总学时比例（%）</w:t>
            </w:r>
          </w:p>
        </w:tc>
        <w:tc>
          <w:tcPr>
            <w:tcW w:w="1606" w:type="dxa"/>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43.24</w:t>
            </w:r>
          </w:p>
        </w:tc>
        <w:tc>
          <w:tcPr>
            <w:tcW w:w="2646"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是否有省级及以上教育行政部门等认定的高水平教师教学（科研）创新团队</w:t>
            </w:r>
          </w:p>
        </w:tc>
        <w:tc>
          <w:tcPr>
            <w:tcW w:w="1791"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689" w:type="dxa"/>
            <w:gridSpan w:val="2"/>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省级及以上教学名师数量（人）</w:t>
            </w:r>
          </w:p>
        </w:tc>
        <w:tc>
          <w:tcPr>
            <w:tcW w:w="1606"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0</w:t>
            </w:r>
          </w:p>
        </w:tc>
        <w:tc>
          <w:tcPr>
            <w:tcW w:w="2646"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省级及以上教学领域有关奖励数量（项）</w:t>
            </w:r>
          </w:p>
        </w:tc>
        <w:tc>
          <w:tcPr>
            <w:tcW w:w="1791" w:type="dxa"/>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689" w:type="dxa"/>
            <w:gridSpan w:val="2"/>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生均教学科研仪器设备值（万元）</w:t>
            </w:r>
          </w:p>
        </w:tc>
        <w:tc>
          <w:tcPr>
            <w:tcW w:w="1606" w:type="dxa"/>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1.35</w:t>
            </w:r>
          </w:p>
        </w:tc>
        <w:tc>
          <w:tcPr>
            <w:tcW w:w="2646"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是否有省级及以上技术研发推广平台</w:t>
            </w:r>
          </w:p>
        </w:tc>
        <w:tc>
          <w:tcPr>
            <w:tcW w:w="1791"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8732" w:type="dxa"/>
            <w:gridSpan w:val="5"/>
            <w:tcBorders>
              <w:bottom w:val="single" w:color="000000" w:sz="4" w:space="0"/>
            </w:tcBorders>
            <w:vAlign w:val="center"/>
          </w:tcPr>
          <w:p>
            <w:pPr>
              <w:snapToGrid w:val="0"/>
              <w:jc w:val="left"/>
              <w:rPr>
                <w:rFonts w:hint="eastAsia" w:ascii="仿宋" w:hAnsi="仿宋" w:eastAsia="仿宋" w:cs="仿宋"/>
                <w:sz w:val="24"/>
                <w:szCs w:val="24"/>
              </w:rPr>
            </w:pPr>
            <w:r>
              <w:rPr>
                <w:rFonts w:hint="eastAsia" w:ascii="仿宋" w:hAnsi="仿宋" w:eastAsia="仿宋" w:cs="仿宋"/>
                <w:b/>
                <w:bCs/>
                <w:sz w:val="28"/>
                <w:szCs w:val="28"/>
              </w:rPr>
              <w:t>所依托主要专业基本情况：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专业名称</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新能源汽车技术</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专业代码</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460702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专业开设时间</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20</w:t>
            </w:r>
            <w:r>
              <w:rPr>
                <w:rFonts w:hint="eastAsia" w:ascii="仿宋" w:hAnsi="仿宋" w:eastAsia="仿宋" w:cs="仿宋"/>
                <w:sz w:val="24"/>
                <w:szCs w:val="24"/>
                <w:lang w:val="en-US" w:eastAsia="zh-CN"/>
              </w:rPr>
              <w:t>17</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是否为省级以上</w:t>
            </w:r>
          </w:p>
          <w:p>
            <w:pPr>
              <w:snapToGrid w:val="0"/>
              <w:jc w:val="center"/>
              <w:rPr>
                <w:rFonts w:hint="eastAsia" w:ascii="仿宋" w:hAnsi="仿宋" w:eastAsia="仿宋" w:cs="仿宋"/>
                <w:sz w:val="24"/>
                <w:szCs w:val="24"/>
              </w:rPr>
            </w:pPr>
            <w:r>
              <w:rPr>
                <w:rFonts w:hint="eastAsia" w:ascii="仿宋" w:hAnsi="仿宋" w:eastAsia="仿宋" w:cs="仿宋"/>
                <w:sz w:val="24"/>
                <w:szCs w:val="24"/>
              </w:rPr>
              <w:t>重点（特色）专业</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本专业全日制</w:t>
            </w:r>
          </w:p>
          <w:p>
            <w:pPr>
              <w:snapToGrid w:val="0"/>
              <w:jc w:val="center"/>
              <w:rPr>
                <w:rFonts w:hint="eastAsia" w:ascii="仿宋" w:hAnsi="仿宋" w:eastAsia="仿宋" w:cs="仿宋"/>
                <w:sz w:val="24"/>
                <w:szCs w:val="24"/>
              </w:rPr>
            </w:pPr>
            <w:r>
              <w:rPr>
                <w:rFonts w:hint="eastAsia" w:ascii="仿宋" w:hAnsi="仿宋" w:eastAsia="仿宋" w:cs="仿宋"/>
                <w:sz w:val="24"/>
                <w:szCs w:val="24"/>
              </w:rPr>
              <w:t>在校生数（人）</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774</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本专业专任教师</w:t>
            </w:r>
          </w:p>
          <w:p>
            <w:pPr>
              <w:snapToGrid w:val="0"/>
              <w:jc w:val="center"/>
              <w:rPr>
                <w:rFonts w:hint="eastAsia" w:ascii="仿宋" w:hAnsi="仿宋" w:eastAsia="仿宋" w:cs="仿宋"/>
                <w:sz w:val="24"/>
                <w:szCs w:val="24"/>
              </w:rPr>
            </w:pPr>
            <w:r>
              <w:rPr>
                <w:rFonts w:hint="eastAsia" w:ascii="仿宋" w:hAnsi="仿宋" w:eastAsia="仿宋" w:cs="仿宋"/>
                <w:sz w:val="24"/>
                <w:szCs w:val="24"/>
              </w:rPr>
              <w:t>数（人）</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专任教师与全日制</w:t>
            </w:r>
          </w:p>
          <w:p>
            <w:pPr>
              <w:snapToGrid w:val="0"/>
              <w:jc w:val="center"/>
              <w:rPr>
                <w:rFonts w:hint="eastAsia" w:ascii="仿宋" w:hAnsi="仿宋" w:eastAsia="仿宋" w:cs="仿宋"/>
                <w:sz w:val="24"/>
                <w:szCs w:val="24"/>
              </w:rPr>
            </w:pPr>
            <w:r>
              <w:rPr>
                <w:rFonts w:hint="eastAsia" w:ascii="仿宋" w:hAnsi="仿宋" w:eastAsia="仿宋" w:cs="仿宋"/>
                <w:sz w:val="24"/>
                <w:szCs w:val="24"/>
              </w:rPr>
              <w:t>在校生人数之比</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18</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高级职称专任教师</w:t>
            </w:r>
          </w:p>
          <w:p>
            <w:pPr>
              <w:snapToGrid w:val="0"/>
              <w:jc w:val="center"/>
              <w:rPr>
                <w:rFonts w:hint="eastAsia" w:ascii="仿宋" w:hAnsi="仿宋" w:eastAsia="仿宋" w:cs="仿宋"/>
                <w:sz w:val="24"/>
                <w:szCs w:val="24"/>
              </w:rPr>
            </w:pPr>
            <w:r>
              <w:rPr>
                <w:rFonts w:hint="eastAsia" w:ascii="仿宋" w:hAnsi="仿宋" w:eastAsia="仿宋" w:cs="仿宋"/>
                <w:sz w:val="24"/>
                <w:szCs w:val="24"/>
              </w:rPr>
              <w:t>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具有研究生学位</w:t>
            </w:r>
          </w:p>
          <w:p>
            <w:pPr>
              <w:snapToGrid w:val="0"/>
              <w:jc w:val="center"/>
              <w:rPr>
                <w:rFonts w:hint="eastAsia" w:ascii="仿宋" w:hAnsi="仿宋" w:eastAsia="仿宋" w:cs="仿宋"/>
                <w:sz w:val="24"/>
                <w:szCs w:val="24"/>
              </w:rPr>
            </w:pPr>
            <w:r>
              <w:rPr>
                <w:rFonts w:hint="eastAsia" w:ascii="仿宋" w:hAnsi="仿宋" w:eastAsia="仿宋" w:cs="仿宋"/>
                <w:sz w:val="24"/>
                <w:szCs w:val="24"/>
              </w:rPr>
              <w:t>专任教师比例（%）</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highlight w:val="none"/>
                <w:lang w:val="en-US" w:eastAsia="zh-CN"/>
              </w:rPr>
              <w:t>55.56</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具有博士研究生学位专任教师比例（%）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仿宋" w:hAnsi="仿宋" w:cs="仿宋" w:eastAsiaTheme="minorEastAsia"/>
                <w:sz w:val="24"/>
                <w:szCs w:val="24"/>
                <w:lang w:val="en-US" w:eastAsia="zh-CN"/>
              </w:rPr>
            </w:pPr>
            <w:r>
              <w:rPr>
                <w:rFonts w:hint="eastAsia" w:ascii="仿宋" w:hAnsi="仿宋" w:eastAsia="仿宋" w:cs="仿宋"/>
                <w:sz w:val="24"/>
                <w:szCs w:val="24"/>
                <w:highlight w:val="none"/>
                <w:lang w:val="en-US" w:eastAsia="zh-CN"/>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202</w:t>
            </w:r>
            <w:r>
              <w:rPr>
                <w:rFonts w:hint="eastAsia" w:ascii="仿宋" w:hAnsi="仿宋" w:eastAsia="仿宋" w:cs="仿宋"/>
                <w:sz w:val="24"/>
                <w:szCs w:val="24"/>
                <w:lang w:val="en-US" w:eastAsia="zh-CN"/>
              </w:rPr>
              <w:t>3</w:t>
            </w:r>
            <w:r>
              <w:rPr>
                <w:rFonts w:hint="eastAsia" w:ascii="仿宋" w:hAnsi="仿宋" w:eastAsia="仿宋" w:cs="仿宋"/>
                <w:sz w:val="24"/>
                <w:szCs w:val="24"/>
              </w:rPr>
              <w:t>年度面向行业企业和社会开展职业</w:t>
            </w:r>
          </w:p>
          <w:p>
            <w:pPr>
              <w:snapToGrid w:val="0"/>
              <w:jc w:val="center"/>
              <w:rPr>
                <w:rFonts w:hint="eastAsia" w:ascii="仿宋" w:hAnsi="仿宋" w:eastAsia="仿宋" w:cs="仿宋"/>
                <w:sz w:val="24"/>
                <w:szCs w:val="24"/>
              </w:rPr>
            </w:pPr>
            <w:r>
              <w:rPr>
                <w:rFonts w:hint="eastAsia" w:ascii="仿宋" w:hAnsi="仿宋" w:eastAsia="仿宋" w:cs="仿宋"/>
                <w:sz w:val="24"/>
                <w:szCs w:val="24"/>
              </w:rPr>
              <w:t>培训人次</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1600</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lang w:eastAsia="zh-CN"/>
              </w:rPr>
              <w:t>2023</w:t>
            </w:r>
            <w:r>
              <w:rPr>
                <w:rFonts w:hint="eastAsia" w:ascii="仿宋" w:hAnsi="仿宋" w:eastAsia="仿宋" w:cs="仿宋"/>
                <w:sz w:val="24"/>
                <w:szCs w:val="24"/>
              </w:rPr>
              <w:t>年度招生计划</w:t>
            </w:r>
          </w:p>
          <w:p>
            <w:pPr>
              <w:snapToGrid w:val="0"/>
              <w:jc w:val="center"/>
              <w:rPr>
                <w:rFonts w:hint="eastAsia" w:ascii="仿宋" w:hAnsi="仿宋" w:eastAsia="仿宋" w:cs="仿宋"/>
                <w:sz w:val="24"/>
                <w:szCs w:val="24"/>
              </w:rPr>
            </w:pPr>
            <w:r>
              <w:rPr>
                <w:rFonts w:hint="eastAsia" w:ascii="仿宋" w:hAnsi="仿宋" w:eastAsia="仿宋" w:cs="仿宋"/>
                <w:sz w:val="24"/>
                <w:szCs w:val="24"/>
              </w:rPr>
              <w:t>完成率（%）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202</w:t>
            </w:r>
            <w:r>
              <w:rPr>
                <w:rFonts w:hint="eastAsia" w:ascii="仿宋" w:hAnsi="仿宋" w:eastAsia="仿宋" w:cs="仿宋"/>
                <w:sz w:val="24"/>
                <w:szCs w:val="24"/>
                <w:lang w:val="en-US" w:eastAsia="zh-CN"/>
              </w:rPr>
              <w:t>3</w:t>
            </w:r>
            <w:r>
              <w:rPr>
                <w:rFonts w:hint="eastAsia" w:ascii="仿宋" w:hAnsi="仿宋" w:eastAsia="仿宋" w:cs="仿宋"/>
                <w:sz w:val="24"/>
                <w:szCs w:val="24"/>
              </w:rPr>
              <w:t>年度新生</w:t>
            </w:r>
          </w:p>
          <w:p>
            <w:pPr>
              <w:snapToGrid w:val="0"/>
              <w:jc w:val="center"/>
              <w:rPr>
                <w:rFonts w:hint="eastAsia" w:ascii="仿宋" w:hAnsi="仿宋" w:eastAsia="仿宋" w:cs="仿宋"/>
                <w:sz w:val="24"/>
                <w:szCs w:val="24"/>
              </w:rPr>
            </w:pPr>
            <w:r>
              <w:rPr>
                <w:rFonts w:hint="eastAsia" w:ascii="仿宋" w:hAnsi="仿宋" w:eastAsia="仿宋" w:cs="仿宋"/>
                <w:sz w:val="24"/>
                <w:szCs w:val="24"/>
              </w:rPr>
              <w:t>报到率（%）</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99.32</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lang w:eastAsia="zh-CN"/>
              </w:rPr>
              <w:t>2023</w:t>
            </w:r>
            <w:r>
              <w:rPr>
                <w:rFonts w:hint="eastAsia" w:ascii="仿宋" w:hAnsi="仿宋" w:eastAsia="仿宋" w:cs="仿宋"/>
                <w:sz w:val="24"/>
                <w:szCs w:val="24"/>
              </w:rPr>
              <w:t>年度应届生</w:t>
            </w:r>
          </w:p>
          <w:p>
            <w:pPr>
              <w:snapToGrid w:val="0"/>
              <w:jc w:val="center"/>
              <w:rPr>
                <w:rFonts w:hint="eastAsia" w:ascii="仿宋" w:hAnsi="仿宋" w:eastAsia="仿宋" w:cs="仿宋"/>
                <w:sz w:val="24"/>
                <w:szCs w:val="24"/>
              </w:rPr>
            </w:pPr>
            <w:r>
              <w:rPr>
                <w:rFonts w:hint="eastAsia" w:ascii="仿宋" w:hAnsi="仿宋" w:eastAsia="仿宋" w:cs="仿宋"/>
                <w:sz w:val="24"/>
                <w:szCs w:val="24"/>
              </w:rPr>
              <w:t>就业率（%）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8" w:type="dxa"/>
            <w:vAlign w:val="center"/>
          </w:tcPr>
          <w:p>
            <w:pPr>
              <w:snapToGrid w:val="0"/>
              <w:jc w:val="center"/>
              <w:rPr>
                <w:rFonts w:ascii="Times New Roman" w:hAnsi="Times New Roman" w:eastAsia="方正仿宋简体" w:cs="Times New Roman"/>
                <w:sz w:val="24"/>
                <w:szCs w:val="24"/>
              </w:rPr>
            </w:pPr>
            <w:r>
              <w:rPr>
                <w:rFonts w:hint="eastAsia" w:ascii="仿宋" w:hAnsi="仿宋" w:eastAsia="仿宋" w:cs="仿宋"/>
                <w:position w:val="6"/>
                <w:sz w:val="24"/>
                <w:szCs w:val="24"/>
              </w:rPr>
              <w:t>拟招生专业设置可行性</w:t>
            </w:r>
          </w:p>
        </w:tc>
        <w:tc>
          <w:tcPr>
            <w:tcW w:w="7844" w:type="dxa"/>
            <w:gridSpan w:val="4"/>
          </w:tcPr>
          <w:p>
            <w:pPr>
              <w:numPr>
                <w:ilvl w:val="0"/>
                <w:numId w:val="0"/>
              </w:num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lang w:val="en-US" w:eastAsia="zh-CN"/>
              </w:rPr>
              <w:t>一、</w:t>
            </w:r>
            <w:r>
              <w:rPr>
                <w:rFonts w:hint="eastAsia" w:ascii="黑体" w:hAnsi="黑体" w:eastAsia="黑体" w:cs="黑体"/>
                <w:sz w:val="28"/>
                <w:szCs w:val="28"/>
              </w:rPr>
              <w:t>行业/企业调研分析</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据统计，新能源汽车呈持续高速增长趋势。广西政府高度重视和大力支持，</w:t>
            </w:r>
            <w:r>
              <w:rPr>
                <w:rFonts w:hint="eastAsia" w:ascii="仿宋" w:hAnsi="仿宋" w:eastAsia="仿宋" w:cs="仿宋"/>
                <w:sz w:val="28"/>
                <w:szCs w:val="28"/>
                <w:lang w:eastAsia="zh-CN"/>
              </w:rPr>
              <w:t>比亚迪等</w:t>
            </w:r>
            <w:r>
              <w:rPr>
                <w:rFonts w:hint="eastAsia" w:ascii="仿宋" w:hAnsi="仿宋" w:eastAsia="仿宋" w:cs="仿宋"/>
                <w:sz w:val="28"/>
                <w:szCs w:val="28"/>
              </w:rPr>
              <w:t>汽车企业入驻广西，高层次技术技能的</w:t>
            </w:r>
            <w:r>
              <w:rPr>
                <w:rFonts w:hint="eastAsia" w:ascii="仿宋" w:hAnsi="仿宋" w:eastAsia="仿宋" w:cs="仿宋"/>
                <w:sz w:val="28"/>
                <w:szCs w:val="28"/>
                <w:lang w:val="en-US" w:eastAsia="zh-CN"/>
              </w:rPr>
              <w:t>新能源</w:t>
            </w:r>
            <w:r>
              <w:rPr>
                <w:rFonts w:hint="eastAsia" w:ascii="仿宋" w:hAnsi="仿宋" w:eastAsia="仿宋" w:cs="仿宋"/>
                <w:sz w:val="28"/>
                <w:szCs w:val="28"/>
              </w:rPr>
              <w:t>汽车设计和汽车生产制造技术人才需求量剧增，能够从事新能源汽车部件总成设计开发、生产、检测和基层管理工作的高层次技术技能人才成为广西区内最为紧缺的人员之一。增设新能源汽车工程技术专业（专升本）能较好地适应广西地区经济和社会发展需求。</w:t>
            </w:r>
          </w:p>
          <w:p>
            <w:pPr>
              <w:numPr>
                <w:ilvl w:val="0"/>
                <w:numId w:val="0"/>
              </w:numPr>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lang w:val="en-US" w:eastAsia="zh-CN"/>
              </w:rPr>
              <w:t>二、</w:t>
            </w:r>
            <w:r>
              <w:rPr>
                <w:rFonts w:hint="eastAsia" w:ascii="黑体" w:hAnsi="黑体" w:eastAsia="黑体" w:cs="黑体"/>
                <w:sz w:val="28"/>
                <w:szCs w:val="28"/>
              </w:rPr>
              <w:t>人才供给情况分析</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据统计，全国有229所院校招收新能源汽车专业学生，约55000余名。其中，交通类院校与行业外院校办学的人数比例基本是1：3。《制造业人才发展规划指南》</w:t>
            </w:r>
            <w:r>
              <w:rPr>
                <w:rFonts w:hint="eastAsia" w:ascii="仿宋" w:hAnsi="仿宋" w:eastAsia="仿宋" w:cs="仿宋"/>
                <w:sz w:val="28"/>
                <w:szCs w:val="28"/>
                <w:lang w:eastAsia="zh-CN"/>
              </w:rPr>
              <w:t>预测</w:t>
            </w:r>
            <w:r>
              <w:rPr>
                <w:rFonts w:hint="eastAsia" w:ascii="仿宋" w:hAnsi="仿宋" w:eastAsia="仿宋" w:cs="仿宋"/>
                <w:sz w:val="28"/>
                <w:szCs w:val="28"/>
              </w:rPr>
              <w:t>，202</w:t>
            </w:r>
            <w:r>
              <w:rPr>
                <w:rFonts w:hint="eastAsia" w:ascii="仿宋" w:hAnsi="仿宋" w:eastAsia="仿宋" w:cs="仿宋"/>
                <w:sz w:val="28"/>
                <w:szCs w:val="28"/>
                <w:lang w:val="en-US" w:eastAsia="zh-CN"/>
              </w:rPr>
              <w:t>5</w:t>
            </w:r>
            <w:r>
              <w:rPr>
                <w:rFonts w:hint="eastAsia" w:ascii="仿宋" w:hAnsi="仿宋" w:eastAsia="仿宋" w:cs="仿宋"/>
                <w:sz w:val="28"/>
                <w:szCs w:val="28"/>
              </w:rPr>
              <w:t>年我国新能源汽车人才领域人才需求为</w:t>
            </w:r>
            <w:r>
              <w:rPr>
                <w:rFonts w:hint="eastAsia" w:ascii="仿宋" w:hAnsi="仿宋" w:eastAsia="仿宋" w:cs="仿宋"/>
                <w:sz w:val="28"/>
                <w:szCs w:val="28"/>
                <w:lang w:val="en-US" w:eastAsia="zh-CN"/>
              </w:rPr>
              <w:t>120</w:t>
            </w:r>
            <w:r>
              <w:rPr>
                <w:rFonts w:hint="eastAsia" w:ascii="仿宋" w:hAnsi="仿宋" w:eastAsia="仿宋" w:cs="仿宋"/>
                <w:sz w:val="28"/>
                <w:szCs w:val="28"/>
              </w:rPr>
              <w:t>万，目前缺口尚有</w:t>
            </w:r>
            <w:r>
              <w:rPr>
                <w:rFonts w:hint="eastAsia" w:ascii="仿宋" w:hAnsi="仿宋" w:eastAsia="仿宋" w:cs="仿宋"/>
                <w:sz w:val="28"/>
                <w:szCs w:val="28"/>
                <w:lang w:val="en-US" w:eastAsia="zh-CN"/>
              </w:rPr>
              <w:t>68</w:t>
            </w:r>
            <w:r>
              <w:rPr>
                <w:rFonts w:hint="eastAsia" w:ascii="仿宋" w:hAnsi="仿宋" w:eastAsia="仿宋" w:cs="仿宋"/>
                <w:sz w:val="28"/>
                <w:szCs w:val="28"/>
              </w:rPr>
              <w:t>万。</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三、办学基础和专业特色</w:t>
            </w:r>
          </w:p>
          <w:p>
            <w:pPr>
              <w:pStyle w:val="12"/>
              <w:ind w:firstLine="560" w:firstLineChars="200"/>
              <w:jc w:val="both"/>
              <w:rPr>
                <w:rFonts w:ascii="楷体" w:hAnsi="楷体" w:eastAsia="楷体" w:cs="楷体"/>
              </w:rPr>
            </w:pPr>
            <w:r>
              <w:rPr>
                <w:rFonts w:hint="eastAsia" w:ascii="楷体" w:hAnsi="楷体" w:eastAsia="楷体" w:cs="楷体"/>
              </w:rPr>
              <w:t>（一）办学基础</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我校教学基础设施齐全，现有214间多媒体教室，图书馆纸质藏书164.03万册，电子图书145万册。汽车工程学院开设的本科专业有：汽车服务工程技术、汽车工程技术、新能源汽车工程技术；开设的专科专业有：新能源汽车技术、汽车制造与试验技术、汽车技术服务与营销。汽车工程学院拥有自治区示范性高等职业教育实训基地、汽车智能技术研究中心、智能新能源汽车产业学院，有新能源汽车实训、整车实训等四个实训中心，十一个功能实训室，校内实训基地占地5230平方米，设备总值1016万元，可同时容纳600位学生开展理实一体化教学。此外我校已与多家单位签订校企合作协议，共同制定专业人才培养方向，合作建立校外实训基地21家，形成一支师资充足、结构合理、教学水平高、科研能力强的教学团队。</w:t>
            </w:r>
          </w:p>
          <w:p>
            <w:pPr>
              <w:pStyle w:val="12"/>
              <w:ind w:firstLine="560" w:firstLineChars="200"/>
              <w:jc w:val="both"/>
              <w:rPr>
                <w:rFonts w:ascii="楷体" w:hAnsi="楷体" w:eastAsia="楷体" w:cs="楷体"/>
              </w:rPr>
            </w:pPr>
            <w:r>
              <w:rPr>
                <w:rFonts w:hint="eastAsia" w:ascii="楷体" w:hAnsi="楷体" w:eastAsia="楷体" w:cs="楷体"/>
              </w:rPr>
              <w:t>（二）专业特色</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专业依托新能源汽车技术专业，实施“校企共育，能力递进”人才培养模式。以校企协同育人为理念，以培养学生的职业能力为主线，通过校企共育主体、共育过程、共育环境的一体化设计，为学生提供与企业相似的教学环境和经验学习环节，并遵循人才的能力渐进发展的规律，根据岗位对职业能力的梯次需求，构建课程体系，体现学生职业成长的逻辑。</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四、保障措施及相关制度</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建立健全专业建设的领导机构，加大力度投入经费，确保资金流动。成立专业建设指导委员会，指定责任人和带头人，明确分工，落实责任，确立质量评价体系，保障专业能进行可持续发展。</w:t>
            </w:r>
          </w:p>
          <w:p>
            <w:pPr>
              <w:pStyle w:val="13"/>
              <w:spacing w:line="560" w:lineRule="exact"/>
              <w:ind w:firstLine="560" w:firstLineChars="200"/>
            </w:pPr>
            <w:r>
              <w:rPr>
                <w:rFonts w:hint="eastAsia" w:ascii="仿宋" w:hAnsi="仿宋" w:eastAsia="仿宋" w:cs="仿宋"/>
                <w:sz w:val="28"/>
                <w:szCs w:val="28"/>
              </w:rPr>
              <w:t>综上，我校具有坚实的办学条件和充足的办学资源，增设新能源汽车工程技术专业（专升本），符合国家政策支持导向及市场发展趋势。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8"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教师队伍</w:t>
            </w:r>
          </w:p>
          <w:p>
            <w:pPr>
              <w:snapToGrid w:val="0"/>
              <w:jc w:val="center"/>
              <w:rPr>
                <w:rFonts w:ascii="Times New Roman" w:hAnsi="Times New Roman" w:eastAsia="仿宋_GB2312" w:cs="Times New Roman"/>
                <w:sz w:val="24"/>
                <w:szCs w:val="24"/>
              </w:rPr>
            </w:pPr>
            <w:r>
              <w:rPr>
                <w:rFonts w:hint="eastAsia" w:ascii="仿宋" w:hAnsi="仿宋" w:eastAsia="仿宋" w:cs="仿宋"/>
                <w:sz w:val="24"/>
                <w:szCs w:val="24"/>
              </w:rPr>
              <w:t>情况要点</w:t>
            </w:r>
          </w:p>
        </w:tc>
        <w:tc>
          <w:tcPr>
            <w:tcW w:w="7844" w:type="dxa"/>
            <w:gridSpan w:val="4"/>
          </w:tcPr>
          <w:p>
            <w:pPr>
              <w:spacing w:line="560" w:lineRule="exact"/>
              <w:ind w:firstLine="560" w:firstLineChars="200"/>
              <w:rPr>
                <w:rFonts w:hint="eastAsia" w:ascii="仿宋" w:hAnsi="仿宋" w:eastAsia="仿宋" w:cs="方正仿宋_GB2312"/>
                <w:sz w:val="28"/>
                <w:szCs w:val="28"/>
              </w:rPr>
            </w:pPr>
            <w:bookmarkStart w:id="0" w:name="_GoBack"/>
            <w:r>
              <w:rPr>
                <w:rFonts w:hint="eastAsia" w:ascii="仿宋" w:hAnsi="仿宋" w:eastAsia="仿宋" w:cs="方正仿宋_GB2312"/>
                <w:sz w:val="28"/>
                <w:szCs w:val="28"/>
              </w:rPr>
              <w:t>所依托专业中，校内专任教师</w:t>
            </w:r>
            <w:r>
              <w:rPr>
                <w:rFonts w:hint="eastAsia" w:ascii="仿宋" w:hAnsi="仿宋" w:eastAsia="仿宋" w:cs="方正仿宋_GB2312"/>
                <w:sz w:val="28"/>
                <w:szCs w:val="28"/>
                <w:lang w:val="en-US" w:eastAsia="zh-CN"/>
              </w:rPr>
              <w:t>36</w:t>
            </w:r>
            <w:r>
              <w:rPr>
                <w:rFonts w:hint="eastAsia" w:ascii="仿宋" w:hAnsi="仿宋" w:eastAsia="仿宋" w:cs="方正仿宋_GB2312"/>
                <w:sz w:val="28"/>
                <w:szCs w:val="28"/>
              </w:rPr>
              <w:t>人，兼课教师</w:t>
            </w:r>
            <w:r>
              <w:rPr>
                <w:rFonts w:hint="eastAsia" w:ascii="仿宋" w:hAnsi="仿宋" w:eastAsia="仿宋" w:cs="方正仿宋_GB2312"/>
                <w:sz w:val="28"/>
                <w:szCs w:val="28"/>
                <w:lang w:val="en-US" w:eastAsia="zh-CN"/>
              </w:rPr>
              <w:t>14</w:t>
            </w:r>
            <w:r>
              <w:rPr>
                <w:rFonts w:hint="eastAsia" w:ascii="仿宋" w:hAnsi="仿宋" w:eastAsia="仿宋" w:cs="方正仿宋_GB2312"/>
                <w:sz w:val="28"/>
                <w:szCs w:val="28"/>
              </w:rPr>
              <w:t>人，具体情况如下：</w:t>
            </w:r>
          </w:p>
          <w:p>
            <w:pPr>
              <w:spacing w:line="560" w:lineRule="exact"/>
              <w:ind w:firstLine="560" w:firstLineChars="200"/>
              <w:rPr>
                <w:rFonts w:hint="eastAsia" w:ascii="仿宋" w:hAnsi="仿宋" w:eastAsia="仿宋" w:cs="方正仿宋_GB2312"/>
                <w:sz w:val="28"/>
                <w:szCs w:val="28"/>
              </w:rPr>
            </w:pPr>
            <w:r>
              <w:rPr>
                <w:rFonts w:hint="eastAsia" w:ascii="仿宋" w:hAnsi="仿宋" w:eastAsia="仿宋" w:cs="方正仿宋_GB2312"/>
                <w:sz w:val="28"/>
                <w:szCs w:val="28"/>
                <w:lang w:val="en-US" w:eastAsia="zh-CN"/>
              </w:rPr>
              <w:t>一、</w:t>
            </w:r>
            <w:r>
              <w:rPr>
                <w:rFonts w:hint="eastAsia" w:ascii="仿宋" w:hAnsi="仿宋" w:eastAsia="仿宋" w:cs="方正仿宋_GB2312"/>
                <w:sz w:val="28"/>
                <w:szCs w:val="28"/>
              </w:rPr>
              <w:t>专任教师与学生之比是1:</w:t>
            </w:r>
            <w:r>
              <w:rPr>
                <w:rFonts w:hint="eastAsia" w:ascii="仿宋" w:hAnsi="仿宋" w:eastAsia="仿宋" w:cs="方正仿宋_GB2312"/>
                <w:sz w:val="28"/>
                <w:szCs w:val="28"/>
                <w:lang w:val="en-US" w:eastAsia="zh-CN"/>
              </w:rPr>
              <w:t>18</w:t>
            </w:r>
            <w:r>
              <w:rPr>
                <w:rFonts w:hint="eastAsia" w:ascii="仿宋" w:hAnsi="仿宋" w:eastAsia="仿宋" w:cs="方正仿宋_GB2312"/>
                <w:sz w:val="28"/>
                <w:szCs w:val="28"/>
              </w:rPr>
              <w:t>，其中高级职称专任教师比例占比</w:t>
            </w:r>
            <w:r>
              <w:rPr>
                <w:rFonts w:hint="eastAsia" w:ascii="仿宋" w:hAnsi="仿宋" w:eastAsia="仿宋" w:cs="方正仿宋_GB2312"/>
                <w:sz w:val="28"/>
                <w:szCs w:val="28"/>
                <w:lang w:val="en-US" w:eastAsia="zh-CN"/>
              </w:rPr>
              <w:t>41.67</w:t>
            </w:r>
            <w:r>
              <w:rPr>
                <w:rFonts w:hint="eastAsia" w:ascii="仿宋" w:hAnsi="仿宋" w:eastAsia="仿宋" w:cs="方正仿宋_GB2312"/>
                <w:sz w:val="28"/>
                <w:szCs w:val="28"/>
              </w:rPr>
              <w:t>%；具有研究生学位专任教师比例</w:t>
            </w:r>
            <w:r>
              <w:rPr>
                <w:rFonts w:hint="eastAsia" w:ascii="仿宋" w:hAnsi="仿宋" w:eastAsia="仿宋" w:cs="方正仿宋_GB2312"/>
                <w:sz w:val="28"/>
                <w:szCs w:val="28"/>
                <w:lang w:val="en-US" w:eastAsia="zh-CN"/>
              </w:rPr>
              <w:t>55.56</w:t>
            </w:r>
            <w:r>
              <w:rPr>
                <w:rFonts w:hint="eastAsia" w:ascii="仿宋" w:hAnsi="仿宋" w:eastAsia="仿宋" w:cs="方正仿宋_GB2312"/>
                <w:sz w:val="28"/>
                <w:szCs w:val="28"/>
              </w:rPr>
              <w:t>%；博士研究生学位专任教师占比</w:t>
            </w:r>
            <w:r>
              <w:rPr>
                <w:rFonts w:hint="eastAsia" w:ascii="仿宋" w:hAnsi="仿宋" w:eastAsia="仿宋" w:cs="方正仿宋_GB2312"/>
                <w:sz w:val="28"/>
                <w:szCs w:val="28"/>
                <w:lang w:val="en-US" w:eastAsia="zh-CN"/>
              </w:rPr>
              <w:t>19.44</w:t>
            </w:r>
            <w:r>
              <w:rPr>
                <w:rFonts w:hint="eastAsia" w:ascii="仿宋" w:hAnsi="仿宋" w:eastAsia="仿宋" w:cs="方正仿宋_GB2312"/>
                <w:sz w:val="28"/>
                <w:szCs w:val="28"/>
              </w:rPr>
              <w:t>%。</w:t>
            </w:r>
          </w:p>
          <w:p>
            <w:pPr>
              <w:spacing w:line="560" w:lineRule="exact"/>
              <w:ind w:firstLine="560" w:firstLineChars="200"/>
              <w:rPr>
                <w:rFonts w:hint="eastAsia" w:ascii="仿宋" w:hAnsi="仿宋" w:eastAsia="仿宋" w:cs="方正仿宋_GB2312"/>
                <w:sz w:val="28"/>
                <w:szCs w:val="28"/>
              </w:rPr>
            </w:pPr>
            <w:r>
              <w:rPr>
                <w:rFonts w:hint="eastAsia" w:ascii="仿宋" w:hAnsi="仿宋" w:eastAsia="仿宋" w:cs="方正仿宋_GB2312"/>
                <w:sz w:val="28"/>
                <w:szCs w:val="28"/>
              </w:rPr>
              <w:t>二、本专业的专任教师中，具有</w:t>
            </w:r>
            <w:r>
              <w:rPr>
                <w:rFonts w:hint="eastAsia" w:ascii="仿宋" w:hAnsi="仿宋" w:eastAsia="仿宋" w:cs="方正仿宋_GB2312"/>
                <w:sz w:val="28"/>
                <w:szCs w:val="28"/>
                <w:lang w:eastAsia="zh-CN"/>
              </w:rPr>
              <w:t>“</w:t>
            </w:r>
            <w:r>
              <w:rPr>
                <w:rFonts w:hint="eastAsia" w:ascii="仿宋" w:hAnsi="仿宋" w:eastAsia="仿宋" w:cs="方正仿宋_GB2312"/>
                <w:sz w:val="28"/>
                <w:szCs w:val="28"/>
              </w:rPr>
              <w:t>双师型</w:t>
            </w:r>
            <w:r>
              <w:rPr>
                <w:rFonts w:hint="eastAsia" w:ascii="仿宋" w:hAnsi="仿宋" w:eastAsia="仿宋" w:cs="方正仿宋_GB2312"/>
                <w:sz w:val="28"/>
                <w:szCs w:val="28"/>
                <w:lang w:eastAsia="zh-CN"/>
              </w:rPr>
              <w:t>”</w:t>
            </w:r>
            <w:r>
              <w:rPr>
                <w:rFonts w:hint="eastAsia" w:ascii="仿宋" w:hAnsi="仿宋" w:eastAsia="仿宋" w:cs="方正仿宋_GB2312"/>
                <w:sz w:val="28"/>
                <w:szCs w:val="28"/>
              </w:rPr>
              <w:t>教师</w:t>
            </w:r>
            <w:r>
              <w:rPr>
                <w:rFonts w:hint="eastAsia" w:ascii="仿宋" w:hAnsi="仿宋" w:eastAsia="仿宋" w:cs="方正仿宋_GB2312"/>
                <w:sz w:val="28"/>
                <w:szCs w:val="28"/>
                <w:lang w:val="en-US" w:eastAsia="zh-CN"/>
              </w:rPr>
              <w:t>19</w:t>
            </w:r>
            <w:r>
              <w:rPr>
                <w:rFonts w:hint="eastAsia" w:ascii="仿宋" w:hAnsi="仿宋" w:eastAsia="仿宋" w:cs="方正仿宋_GB2312"/>
                <w:sz w:val="28"/>
                <w:szCs w:val="28"/>
              </w:rPr>
              <w:t>人，占比</w:t>
            </w:r>
            <w:r>
              <w:rPr>
                <w:rFonts w:hint="eastAsia" w:ascii="仿宋" w:hAnsi="仿宋" w:eastAsia="仿宋" w:cs="方正仿宋_GB2312"/>
                <w:sz w:val="28"/>
                <w:szCs w:val="28"/>
                <w:lang w:val="en-US" w:eastAsia="zh-CN"/>
              </w:rPr>
              <w:t>52.78</w:t>
            </w:r>
            <w:r>
              <w:rPr>
                <w:rFonts w:hint="eastAsia" w:ascii="仿宋" w:hAnsi="仿宋" w:eastAsia="仿宋" w:cs="方正仿宋_GB2312"/>
                <w:sz w:val="28"/>
                <w:szCs w:val="28"/>
              </w:rPr>
              <w:t>%。</w:t>
            </w:r>
          </w:p>
          <w:p>
            <w:pPr>
              <w:spacing w:line="560" w:lineRule="exact"/>
              <w:ind w:firstLine="560" w:firstLineChars="200"/>
              <w:rPr>
                <w:rFonts w:ascii="Times New Roman" w:hAnsi="Times New Roman" w:eastAsia="方正仿宋简体" w:cs="Times New Roman"/>
                <w:sz w:val="18"/>
                <w:szCs w:val="18"/>
              </w:rPr>
            </w:pPr>
            <w:r>
              <w:rPr>
                <w:rFonts w:hint="eastAsia" w:ascii="仿宋" w:hAnsi="仿宋" w:eastAsia="仿宋" w:cs="方正仿宋_GB2312"/>
                <w:sz w:val="28"/>
                <w:szCs w:val="28"/>
              </w:rPr>
              <w:t>三、本专业教师团队获奖3项，教师指导学生参赛获自治区级奖</w:t>
            </w:r>
            <w:r>
              <w:rPr>
                <w:rFonts w:hint="eastAsia" w:ascii="仿宋" w:hAnsi="仿宋" w:eastAsia="仿宋" w:cs="方正仿宋_GB2312"/>
                <w:sz w:val="28"/>
                <w:szCs w:val="28"/>
                <w:lang w:val="en-US" w:eastAsia="zh-CN"/>
              </w:rPr>
              <w:t>4</w:t>
            </w:r>
            <w:r>
              <w:rPr>
                <w:rFonts w:hint="eastAsia" w:ascii="仿宋" w:hAnsi="仿宋" w:eastAsia="仿宋" w:cs="方正仿宋_GB2312"/>
                <w:sz w:val="28"/>
                <w:szCs w:val="28"/>
              </w:rPr>
              <w:t>项。新能源汽车工程技术专业（专升本）带头人</w:t>
            </w:r>
            <w:r>
              <w:rPr>
                <w:rFonts w:hint="eastAsia" w:ascii="仿宋" w:hAnsi="仿宋" w:eastAsia="仿宋" w:cs="方正仿宋_GB2312"/>
                <w:sz w:val="28"/>
                <w:szCs w:val="28"/>
                <w:lang w:eastAsia="zh-CN"/>
              </w:rPr>
              <w:t>李秋琴</w:t>
            </w:r>
            <w:r>
              <w:rPr>
                <w:rFonts w:hint="eastAsia" w:ascii="仿宋" w:hAnsi="仿宋" w:eastAsia="仿宋" w:cs="方正仿宋_GB2312"/>
                <w:sz w:val="28"/>
                <w:szCs w:val="28"/>
              </w:rPr>
              <w:t>，</w:t>
            </w:r>
            <w:r>
              <w:rPr>
                <w:rFonts w:hint="eastAsia" w:ascii="仿宋" w:hAnsi="仿宋" w:eastAsia="仿宋" w:cs="方正仿宋_GB2312"/>
                <w:sz w:val="28"/>
                <w:szCs w:val="28"/>
                <w:lang w:val="en-US" w:eastAsia="zh-CN"/>
              </w:rPr>
              <w:t>教授、高级工程师，教育部职业教育基本专家库成员，职业技能大赛省级、国家级裁判，高级“双师型”教师，职业技能鉴定高级考评员。从教16年来，主讲《汽车发动机构造与维修》等专业课程7门，担任《汽车维修工考证强化训练》等实训课程4门，具有相应的理论教学和实践教学能力。</w:t>
            </w:r>
            <w:r>
              <w:rPr>
                <w:rFonts w:hint="eastAsia" w:ascii="仿宋" w:hAnsi="仿宋" w:eastAsia="仿宋" w:cs="方正仿宋_GB2312"/>
                <w:sz w:val="28"/>
                <w:szCs w:val="28"/>
              </w:rPr>
              <w:t>不断更新知识结构，掌握现代教育教学手段，积极参与教学改革及课题研究，不断改进教学方法，提高教学质量</w:t>
            </w:r>
            <w:r>
              <w:rPr>
                <w:rFonts w:hint="eastAsia" w:ascii="仿宋" w:hAnsi="仿宋" w:eastAsia="仿宋" w:cs="方正仿宋_GB2312"/>
                <w:sz w:val="28"/>
                <w:szCs w:val="28"/>
                <w:lang w:val="en-US" w:eastAsia="zh-CN"/>
              </w:rPr>
              <w:t>，教学成果丰硕，获得自治区教学成果二等奖；掌握本专业国内外发展和趋势，掌握先进的教学理论和教学方法，获得广西高校教育教学软件应用大赛一等奖1项；指导学生参加广西职业院校技能大赛汽车检测与维修赛项获团体二等奖1次、汽车营销赛项获团体三等奖3次</w:t>
            </w:r>
            <w:r>
              <w:rPr>
                <w:rFonts w:hint="eastAsia" w:ascii="仿宋" w:hAnsi="仿宋" w:eastAsia="仿宋" w:cs="方正仿宋_GB2312"/>
                <w:sz w:val="28"/>
                <w:szCs w:val="28"/>
              </w:rPr>
              <w:t>。独著并发表有较高质量和一定创见性</w:t>
            </w:r>
            <w:r>
              <w:rPr>
                <w:rFonts w:hint="eastAsia" w:ascii="仿宋" w:hAnsi="仿宋" w:eastAsia="仿宋" w:cs="方正仿宋_GB2312"/>
                <w:sz w:val="28"/>
                <w:szCs w:val="28"/>
                <w:lang w:val="en-US" w:eastAsia="zh-CN"/>
              </w:rPr>
              <w:t>的教科研论文14篇，其中中文核期刊论文4篇，广西优秀论文2篇，主篇教材一部；以第一发明人身份获得发明专利授权1项、实用新型专利授权3项；主持和主要参与市厅级以上教学科研项目十多项，主要成果如下：</w:t>
            </w:r>
            <w:r>
              <w:rPr>
                <w:rFonts w:hint="default" w:ascii="仿宋" w:hAnsi="仿宋" w:eastAsia="仿宋" w:cs="方正仿宋_GB2312"/>
                <w:sz w:val="28"/>
                <w:szCs w:val="28"/>
                <w:lang w:val="en-US" w:eastAsia="zh-CN"/>
              </w:rPr>
              <w:t>①</w:t>
            </w:r>
            <w:r>
              <w:rPr>
                <w:rFonts w:hint="eastAsia" w:ascii="仿宋" w:hAnsi="仿宋" w:eastAsia="仿宋" w:cs="方正仿宋_GB2312"/>
                <w:sz w:val="28"/>
                <w:szCs w:val="28"/>
                <w:lang w:val="en-US" w:eastAsia="zh-CN"/>
              </w:rPr>
              <w:t>主持完成国家职业教育新能源汽车教学资源库《新能源汽车“互联网+”营销实务》课程资源建设（教育部拨款11万元）；</w:t>
            </w:r>
            <w:r>
              <w:rPr>
                <w:rFonts w:hint="default" w:ascii="仿宋" w:hAnsi="仿宋" w:eastAsia="仿宋" w:cs="方正仿宋_GB2312"/>
                <w:sz w:val="28"/>
                <w:szCs w:val="28"/>
                <w:lang w:val="en-US" w:eastAsia="zh-CN"/>
              </w:rPr>
              <w:t>②</w:t>
            </w:r>
            <w:r>
              <w:rPr>
                <w:rFonts w:hint="eastAsia" w:ascii="仿宋" w:hAnsi="仿宋" w:eastAsia="仿宋" w:cs="方正仿宋_GB2312"/>
                <w:sz w:val="28"/>
                <w:szCs w:val="28"/>
                <w:lang w:val="en-US" w:eastAsia="zh-CN"/>
              </w:rPr>
              <w:t>主持完成两项教育厅科研课题《汽车动力转向器壳体内孔滚压加工》、《冷轧扭钢筋加工机组研究与改进》。</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8"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专业人才</w:t>
            </w:r>
          </w:p>
          <w:p>
            <w:pPr>
              <w:snapToGrid w:val="0"/>
              <w:jc w:val="center"/>
              <w:rPr>
                <w:rFonts w:ascii="Times New Roman" w:hAnsi="Times New Roman" w:eastAsia="仿宋_GB2312" w:cs="Times New Roman"/>
                <w:sz w:val="24"/>
                <w:szCs w:val="24"/>
              </w:rPr>
            </w:pPr>
            <w:r>
              <w:rPr>
                <w:rFonts w:hint="eastAsia" w:ascii="仿宋" w:hAnsi="仿宋" w:eastAsia="仿宋" w:cs="仿宋"/>
                <w:sz w:val="24"/>
                <w:szCs w:val="24"/>
              </w:rPr>
              <w:t>培养方案要点</w:t>
            </w:r>
          </w:p>
        </w:tc>
        <w:tc>
          <w:tcPr>
            <w:tcW w:w="7844" w:type="dxa"/>
            <w:gridSpan w:val="4"/>
          </w:tcPr>
          <w:p>
            <w:pPr>
              <w:spacing w:line="560" w:lineRule="exact"/>
              <w:ind w:firstLine="560" w:firstLineChars="200"/>
              <w:rPr>
                <w:rFonts w:ascii="黑体" w:hAnsi="黑体" w:eastAsia="黑体" w:cs="方正仿宋_GB2312"/>
                <w:sz w:val="28"/>
                <w:szCs w:val="28"/>
              </w:rPr>
            </w:pPr>
            <w:r>
              <w:rPr>
                <w:rFonts w:hint="eastAsia" w:ascii="黑体" w:hAnsi="黑体" w:eastAsia="黑体" w:cs="方正仿宋_GB2312"/>
                <w:sz w:val="28"/>
                <w:szCs w:val="28"/>
              </w:rPr>
              <w:t>一、专业定位</w:t>
            </w:r>
          </w:p>
          <w:p>
            <w:pPr>
              <w:spacing w:line="560" w:lineRule="exact"/>
              <w:ind w:firstLine="560" w:firstLineChars="200"/>
              <w:rPr>
                <w:rFonts w:ascii="仿宋" w:hAnsi="仿宋" w:eastAsia="仿宋" w:cs="方正仿宋_GB2312"/>
                <w:sz w:val="28"/>
                <w:szCs w:val="28"/>
              </w:rPr>
            </w:pPr>
            <w:r>
              <w:rPr>
                <w:rFonts w:hint="eastAsia" w:ascii="仿宋" w:hAnsi="仿宋" w:eastAsia="仿宋" w:cs="方正仿宋_GB2312"/>
                <w:sz w:val="28"/>
                <w:szCs w:val="28"/>
              </w:rPr>
              <w:t>根据学校“立足广西、服务东盟、面向全国”的发展定位，加强与相关行业企业合作并制订人才培养方案，强化学生项目实践能力，使学生掌握新能源汽车工程的基础理论、系统的专业知识；掌握新能源汽车设计、新能源汽车的性能分析等专业技能，能成为新能源汽车研发设计、检测等领域的高层次技术技能人才。</w:t>
            </w:r>
          </w:p>
          <w:p>
            <w:pPr>
              <w:spacing w:line="560" w:lineRule="exact"/>
              <w:ind w:firstLine="560" w:firstLineChars="200"/>
              <w:rPr>
                <w:rFonts w:ascii="黑体" w:hAnsi="黑体" w:eastAsia="黑体" w:cs="方正仿宋_GB2312"/>
                <w:sz w:val="28"/>
                <w:szCs w:val="28"/>
              </w:rPr>
            </w:pPr>
            <w:r>
              <w:rPr>
                <w:rFonts w:hint="eastAsia" w:ascii="黑体" w:hAnsi="黑体" w:eastAsia="黑体" w:cs="方正仿宋_GB2312"/>
                <w:sz w:val="28"/>
                <w:szCs w:val="28"/>
              </w:rPr>
              <w:t>二、职业面向</w:t>
            </w:r>
          </w:p>
          <w:p>
            <w:pPr>
              <w:spacing w:line="560" w:lineRule="exact"/>
              <w:ind w:firstLine="560" w:firstLineChars="200"/>
              <w:rPr>
                <w:rFonts w:ascii="仿宋" w:hAnsi="仿宋" w:eastAsia="仿宋" w:cs="方正仿宋_GB2312"/>
                <w:sz w:val="28"/>
                <w:szCs w:val="28"/>
              </w:rPr>
            </w:pPr>
            <w:r>
              <w:rPr>
                <w:rFonts w:hint="eastAsia" w:ascii="仿宋" w:hAnsi="仿宋" w:eastAsia="仿宋" w:cs="方正仿宋_GB2312"/>
                <w:sz w:val="28"/>
                <w:szCs w:val="28"/>
              </w:rPr>
              <w:t>根据《2020年中国（广西）自由贸易试验区重点产业急需紧缺人才目录》，新能源汽车被列入</w:t>
            </w:r>
            <w:r>
              <w:rPr>
                <w:rFonts w:hint="eastAsia" w:ascii="仿宋" w:hAnsi="仿宋" w:eastAsia="仿宋" w:cs="方正仿宋_GB2312"/>
                <w:sz w:val="28"/>
                <w:szCs w:val="28"/>
                <w:lang w:eastAsia="zh-CN"/>
              </w:rPr>
              <w:t>急需</w:t>
            </w:r>
            <w:r>
              <w:rPr>
                <w:rFonts w:hint="eastAsia" w:ascii="仿宋" w:hAnsi="仿宋" w:eastAsia="仿宋" w:cs="方正仿宋_GB2312"/>
                <w:sz w:val="28"/>
                <w:szCs w:val="28"/>
              </w:rPr>
              <w:t>紧缺人才。</w:t>
            </w:r>
          </w:p>
          <w:p>
            <w:pPr>
              <w:spacing w:line="560" w:lineRule="exact"/>
              <w:ind w:firstLine="560" w:firstLineChars="200"/>
              <w:rPr>
                <w:rFonts w:ascii="仿宋" w:hAnsi="仿宋" w:eastAsia="仿宋" w:cs="方正仿宋_GB2312"/>
                <w:sz w:val="28"/>
                <w:szCs w:val="28"/>
              </w:rPr>
            </w:pPr>
            <w:r>
              <w:rPr>
                <w:rFonts w:hint="eastAsia" w:ascii="仿宋" w:hAnsi="仿宋" w:eastAsia="仿宋" w:cs="方正仿宋_GB2312"/>
                <w:sz w:val="28"/>
                <w:szCs w:val="28"/>
              </w:rPr>
              <w:t>（一）新能源汽车运用工程技术人员。能够分析汽车在运行条件下性能变化的规律，指导汽车驾驶员、维修人员操作；制订或修订汽车运用、维修技术管理制度及汽车运行消耗、汽车维修经济技术定额；制订并优化汽车维修工艺；组织实施汽车运用、维修技术管理；制订或修订汽车运用、维修技术标准和规范；进行汽车运行、维修事故技术分析与鉴定。</w:t>
            </w:r>
          </w:p>
          <w:p>
            <w:pPr>
              <w:spacing w:line="560" w:lineRule="exact"/>
              <w:ind w:firstLine="560" w:firstLineChars="200"/>
              <w:rPr>
                <w:rFonts w:ascii="仿宋" w:hAnsi="仿宋" w:eastAsia="仿宋" w:cs="方正仿宋_GB2312"/>
                <w:sz w:val="28"/>
                <w:szCs w:val="28"/>
              </w:rPr>
            </w:pPr>
            <w:r>
              <w:rPr>
                <w:rFonts w:hint="eastAsia" w:ascii="仿宋" w:hAnsi="仿宋" w:eastAsia="仿宋" w:cs="方正仿宋_GB2312"/>
                <w:sz w:val="28"/>
                <w:szCs w:val="28"/>
              </w:rPr>
              <w:t>（二）新能源电机制造工。能够按设计图样、工艺文件、技术标准进行电机生产组装、试验，在加工过程中进行自检和互检；维护保养设备、工装、量具，使其保持良好，贯彻执行质量管理标准；使用AutoCAD制图，新工艺、新材料，制定并优化电机样件的装配工艺；使用电机实验室通用测试设备，完成对新能源汽车电子元器件与机电组件设备的制造与测试。</w:t>
            </w:r>
          </w:p>
          <w:p>
            <w:pPr>
              <w:spacing w:line="560" w:lineRule="exact"/>
              <w:ind w:firstLine="560" w:firstLineChars="200"/>
              <w:rPr>
                <w:rFonts w:ascii="仿宋" w:hAnsi="仿宋" w:eastAsia="仿宋" w:cs="方正仿宋_GB2312"/>
                <w:sz w:val="28"/>
                <w:szCs w:val="28"/>
              </w:rPr>
            </w:pPr>
            <w:r>
              <w:rPr>
                <w:rFonts w:hint="eastAsia" w:ascii="仿宋" w:hAnsi="仿宋" w:eastAsia="仿宋" w:cs="方正仿宋_GB2312"/>
                <w:sz w:val="28"/>
                <w:szCs w:val="28"/>
              </w:rPr>
              <w:t>（三）新能源汽车制造装调工。能够使用新能源汽车电气装配设备和工具、工装，装配、调试汽车电器仪表、发电机和蓄电池、照明与信号系统、制动、悬架等电子控制系统元件；维护保养新能源汽车装配线、检测设备及工装，排除使用过程中的一般故障。</w:t>
            </w:r>
          </w:p>
          <w:p>
            <w:pPr>
              <w:spacing w:line="560" w:lineRule="exact"/>
              <w:ind w:firstLine="560" w:firstLineChars="200"/>
              <w:rPr>
                <w:rFonts w:ascii="黑体" w:hAnsi="黑体" w:eastAsia="黑体" w:cs="方正仿宋_GB2312"/>
                <w:sz w:val="28"/>
                <w:szCs w:val="28"/>
              </w:rPr>
            </w:pPr>
            <w:r>
              <w:rPr>
                <w:rFonts w:hint="eastAsia" w:ascii="黑体" w:hAnsi="黑体" w:eastAsia="黑体" w:cs="方正仿宋_GB2312"/>
                <w:sz w:val="28"/>
                <w:szCs w:val="28"/>
              </w:rPr>
              <w:t>三、课程体系</w:t>
            </w:r>
          </w:p>
          <w:p>
            <w:pPr>
              <w:spacing w:line="560" w:lineRule="exact"/>
              <w:ind w:firstLine="560" w:firstLineChars="200"/>
              <w:rPr>
                <w:rFonts w:ascii="Times New Roman" w:hAnsi="Times New Roman" w:eastAsia="方正仿宋简体" w:cs="Times New Roman"/>
                <w:sz w:val="18"/>
                <w:szCs w:val="18"/>
              </w:rPr>
            </w:pPr>
            <w:r>
              <w:rPr>
                <w:rFonts w:hint="eastAsia" w:ascii="仿宋" w:hAnsi="仿宋" w:eastAsia="仿宋" w:cs="方正仿宋_GB2312"/>
                <w:sz w:val="28"/>
                <w:szCs w:val="28"/>
              </w:rPr>
              <w:t>本专业课程主要包括职业素质教育平台（职业素质公共必修课程模块、职业素质公共选修课程模块）、职业技能教育平台（职业能力专业基础课程模块、职业能力核心课程模块、专业能力拓展选修课程模块、职业技能等级认证模块）、实践教学平台（职业能力实践模块）</w:t>
            </w:r>
            <w:r>
              <w:rPr>
                <w:rFonts w:hint="eastAsia" w:ascii="仿宋" w:hAnsi="仿宋" w:eastAsia="仿宋" w:cs="方正仿宋_GB2312"/>
                <w:sz w:val="28"/>
                <w:szCs w:val="28"/>
                <w:lang w:eastAsia="zh-CN"/>
              </w:rPr>
              <w:t>共</w:t>
            </w:r>
            <w:r>
              <w:rPr>
                <w:rFonts w:hint="eastAsia" w:ascii="仿宋" w:hAnsi="仿宋" w:eastAsia="仿宋" w:cs="方正仿宋_GB2312"/>
                <w:sz w:val="28"/>
                <w:szCs w:val="28"/>
              </w:rPr>
              <w:t>3个平台和7个模块构成。专业核心课程有：新能源汽车电子控制技术、新能源汽车动力电池及驱动电机技术、新能源汽车高压系统等课程。重视职业能力培养，稳定开设校企协同育人实训课程，与广西汽车集团有限公司、广西壮族自治区机电设备有限责任公司、行知教育协作联盟等论证和制定适应市场发展要求的人才培养方案和教学计划，对专业的课程设置、课程内容等</w:t>
            </w:r>
            <w:r>
              <w:rPr>
                <w:rFonts w:hint="eastAsia" w:ascii="仿宋" w:hAnsi="仿宋" w:eastAsia="仿宋" w:cs="方正仿宋_GB2312"/>
                <w:sz w:val="28"/>
                <w:szCs w:val="28"/>
                <w:lang w:eastAsia="zh-CN"/>
              </w:rPr>
              <w:t>进行充分的</w:t>
            </w:r>
            <w:r>
              <w:rPr>
                <w:rFonts w:hint="eastAsia" w:ascii="仿宋" w:hAnsi="仿宋" w:eastAsia="仿宋" w:cs="方正仿宋_GB2312"/>
                <w:sz w:val="28"/>
                <w:szCs w:val="28"/>
              </w:rPr>
              <w:t>分析和讨论，不断深化教学内容和课程体系的改革，共同开设《汽车理论》《新能源汽车高压系统》《新能源汽车工艺学》等校企合作课程。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hint="eastAsia" w:ascii="仿宋" w:hAnsi="仿宋" w:eastAsia="仿宋" w:cs="仿宋"/>
                <w:sz w:val="24"/>
                <w:szCs w:val="24"/>
              </w:rPr>
              <w:t>办学条件概要</w:t>
            </w:r>
          </w:p>
        </w:tc>
        <w:tc>
          <w:tcPr>
            <w:tcW w:w="7844" w:type="dxa"/>
            <w:gridSpan w:val="4"/>
          </w:tcPr>
          <w:p>
            <w:pPr>
              <w:spacing w:line="560" w:lineRule="exact"/>
              <w:ind w:firstLine="560" w:firstLineChars="200"/>
              <w:rPr>
                <w:rFonts w:ascii="黑体" w:hAnsi="黑体" w:eastAsia="黑体" w:cs="方正仿宋_GB2312"/>
                <w:sz w:val="28"/>
                <w:szCs w:val="28"/>
              </w:rPr>
            </w:pPr>
            <w:r>
              <w:rPr>
                <w:rFonts w:hint="eastAsia" w:ascii="黑体" w:hAnsi="黑体" w:eastAsia="黑体" w:cs="方正仿宋_GB2312"/>
                <w:sz w:val="28"/>
                <w:szCs w:val="28"/>
              </w:rPr>
              <w:t>一、具备开办专业所需的实习实训场所</w:t>
            </w:r>
          </w:p>
          <w:p>
            <w:pPr>
              <w:spacing w:line="560" w:lineRule="exact"/>
              <w:ind w:firstLine="560" w:firstLineChars="200"/>
              <w:rPr>
                <w:rFonts w:ascii="仿宋" w:hAnsi="仿宋" w:eastAsia="仿宋" w:cs="方正仿宋_GB2312"/>
                <w:sz w:val="28"/>
                <w:szCs w:val="28"/>
              </w:rPr>
            </w:pPr>
            <w:r>
              <w:rPr>
                <w:rFonts w:hint="eastAsia" w:ascii="仿宋" w:hAnsi="仿宋" w:eastAsia="仿宋" w:cs="方正仿宋_GB2312"/>
                <w:sz w:val="28"/>
                <w:szCs w:val="28"/>
              </w:rPr>
              <w:t>目前，已建成汽车综合实训基地，包括四大实训中心（新能源汽车实训中心、汽车商务实训中心、整车实训中心、汽车钣金美容实训中心）、新能源汽车共享园等11个功能实训室；2个专业机房。可同时容纳</w:t>
            </w:r>
            <w:r>
              <w:rPr>
                <w:rFonts w:hint="eastAsia" w:ascii="仿宋" w:hAnsi="仿宋" w:eastAsia="仿宋" w:cs="方正仿宋_GB2312"/>
                <w:sz w:val="28"/>
                <w:szCs w:val="28"/>
                <w:highlight w:val="none"/>
              </w:rPr>
              <w:t>600位学生进行实验实训，生均教学科研仪器设备值</w:t>
            </w:r>
            <w:r>
              <w:rPr>
                <w:rFonts w:hint="eastAsia" w:ascii="仿宋" w:hAnsi="仿宋" w:eastAsia="仿宋" w:cs="方正仿宋_GB2312"/>
                <w:sz w:val="28"/>
                <w:szCs w:val="28"/>
                <w:highlight w:val="none"/>
                <w:lang w:val="en-US" w:eastAsia="zh-CN"/>
              </w:rPr>
              <w:t>1.35</w:t>
            </w:r>
            <w:r>
              <w:rPr>
                <w:rFonts w:hint="eastAsia" w:ascii="仿宋" w:hAnsi="仿宋" w:eastAsia="仿宋" w:cs="方正仿宋_GB2312"/>
                <w:sz w:val="28"/>
                <w:szCs w:val="28"/>
                <w:highlight w:val="none"/>
              </w:rPr>
              <w:t>万元，且学校对专业建设经费投入在逐年增长中。</w:t>
            </w:r>
          </w:p>
          <w:p>
            <w:pPr>
              <w:spacing w:line="560" w:lineRule="exact"/>
              <w:ind w:firstLine="560" w:firstLineChars="200"/>
              <w:rPr>
                <w:rFonts w:ascii="黑体" w:hAnsi="黑体" w:eastAsia="黑体" w:cs="方正仿宋_GB2312"/>
                <w:sz w:val="28"/>
                <w:szCs w:val="28"/>
              </w:rPr>
            </w:pPr>
            <w:r>
              <w:rPr>
                <w:rFonts w:hint="eastAsia" w:ascii="黑体" w:hAnsi="黑体" w:eastAsia="黑体" w:cs="方正仿宋_GB2312"/>
                <w:sz w:val="28"/>
                <w:szCs w:val="28"/>
              </w:rPr>
              <w:t>二、积极推进产教融合，建立稳定校企合作关系</w:t>
            </w:r>
          </w:p>
          <w:p>
            <w:pPr>
              <w:spacing w:line="560" w:lineRule="exact"/>
              <w:ind w:firstLine="560" w:firstLineChars="200"/>
              <w:rPr>
                <w:rFonts w:ascii="仿宋" w:hAnsi="仿宋" w:eastAsia="仿宋" w:cs="方正仿宋_GB2312"/>
                <w:sz w:val="28"/>
                <w:szCs w:val="28"/>
              </w:rPr>
            </w:pPr>
            <w:r>
              <w:rPr>
                <w:rFonts w:hint="eastAsia" w:ascii="仿宋" w:hAnsi="仿宋" w:eastAsia="仿宋" w:cs="方正仿宋_GB2312"/>
                <w:sz w:val="28"/>
                <w:szCs w:val="28"/>
              </w:rPr>
              <w:t>学校积极依托行业企业，大力推行校企合作、产教融合，共育高层次技术技能人才。现建设有稳定的校外实训基地6家，我校同奇瑞汽车股份有限公司、广西汽车集团有限公司、广汇汽车机电设备有限责任公司等知名企业开展长期且稳定的校企合作。汽车检测与维修技术专业现代学徒制试点项目</w:t>
            </w:r>
            <w:r>
              <w:rPr>
                <w:rFonts w:hint="eastAsia" w:ascii="仿宋" w:hAnsi="仿宋" w:eastAsia="仿宋" w:cs="方正仿宋_GB2312"/>
                <w:sz w:val="28"/>
                <w:szCs w:val="28"/>
                <w:lang w:eastAsia="zh-CN"/>
              </w:rPr>
              <w:t>正在进行</w:t>
            </w:r>
            <w:r>
              <w:rPr>
                <w:rFonts w:hint="eastAsia" w:ascii="仿宋" w:hAnsi="仿宋" w:eastAsia="仿宋" w:cs="方正仿宋_GB2312"/>
                <w:sz w:val="28"/>
                <w:szCs w:val="28"/>
              </w:rPr>
              <w:t>，也为本专业的现代学徒制的培养提供了经验。并且双方在过程培养、师资提高、技术支持、资金投入等多方面开展深度合作。让学生深刻体会到专业理论教学与专业实践教学相互渗透的教育教学理念，让学生在踏入工作岗位之前到实际的工作岗位去体验，加大学生与社会的对接，有利于学生适应工作岗位。</w:t>
            </w:r>
          </w:p>
          <w:p>
            <w:pPr>
              <w:spacing w:line="560" w:lineRule="exact"/>
              <w:ind w:firstLine="560" w:firstLineChars="200"/>
              <w:rPr>
                <w:rFonts w:ascii="黑体" w:hAnsi="黑体" w:eastAsia="黑体" w:cs="方正仿宋_GB2312"/>
                <w:sz w:val="28"/>
                <w:szCs w:val="28"/>
              </w:rPr>
            </w:pPr>
            <w:r>
              <w:rPr>
                <w:rFonts w:hint="eastAsia" w:ascii="黑体" w:hAnsi="黑体" w:eastAsia="黑体" w:cs="方正仿宋_GB2312"/>
                <w:sz w:val="28"/>
                <w:szCs w:val="28"/>
              </w:rPr>
              <w:t>三、专业建设经费稳定增长，专业发展可保障</w:t>
            </w:r>
          </w:p>
          <w:p>
            <w:pPr>
              <w:spacing w:line="560" w:lineRule="exact"/>
              <w:ind w:firstLine="560" w:firstLineChars="200"/>
              <w:rPr>
                <w:rFonts w:ascii="仿宋" w:hAnsi="仿宋" w:eastAsia="仿宋" w:cs="方正仿宋_GB2312"/>
                <w:sz w:val="28"/>
                <w:szCs w:val="28"/>
              </w:rPr>
            </w:pPr>
            <w:r>
              <w:rPr>
                <w:rFonts w:hint="eastAsia" w:ascii="仿宋" w:hAnsi="仿宋" w:eastAsia="仿宋" w:cs="方正仿宋_GB2312"/>
                <w:sz w:val="28"/>
                <w:szCs w:val="28"/>
              </w:rPr>
              <w:t>学校专业建设项目的经费投入作了详细的规划，计划五年内总计投入500万元。设立专项经费研讨组，针对经费支出做出年度预算，主要用于专业群建设、实训室建设、课程建设、教学改革、“双师型”教师队伍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hint="eastAsia" w:ascii="仿宋" w:hAnsi="仿宋" w:eastAsia="仿宋" w:cs="仿宋"/>
                <w:sz w:val="24"/>
                <w:szCs w:val="24"/>
              </w:rPr>
              <w:t>技术研发与社会服务基础概要</w:t>
            </w:r>
          </w:p>
        </w:tc>
        <w:tc>
          <w:tcPr>
            <w:tcW w:w="7844" w:type="dxa"/>
            <w:gridSpan w:val="4"/>
          </w:tcPr>
          <w:p>
            <w:pPr>
              <w:spacing w:line="560" w:lineRule="exact"/>
              <w:ind w:firstLine="560" w:firstLineChars="200"/>
              <w:rPr>
                <w:rFonts w:hint="eastAsia" w:ascii="黑体" w:hAnsi="黑体" w:eastAsia="黑体" w:cs="方正仿宋_GB2312"/>
                <w:sz w:val="28"/>
                <w:szCs w:val="28"/>
              </w:rPr>
            </w:pPr>
            <w:r>
              <w:rPr>
                <w:rFonts w:hint="eastAsia" w:ascii="黑体" w:hAnsi="黑体" w:eastAsia="黑体" w:cs="方正仿宋_GB2312"/>
                <w:sz w:val="28"/>
                <w:szCs w:val="28"/>
              </w:rPr>
              <w:t>一、技术研发推广平台</w:t>
            </w:r>
          </w:p>
          <w:p>
            <w:pPr>
              <w:spacing w:line="560" w:lineRule="exact"/>
              <w:ind w:firstLine="560" w:firstLineChars="200"/>
              <w:rPr>
                <w:rFonts w:hint="eastAsia" w:ascii="仿宋" w:hAnsi="仿宋" w:eastAsia="仿宋" w:cs="方正仿宋_GB2312"/>
                <w:sz w:val="28"/>
                <w:szCs w:val="28"/>
              </w:rPr>
            </w:pPr>
            <w:r>
              <w:rPr>
                <w:rFonts w:hint="eastAsia" w:ascii="仿宋" w:hAnsi="仿宋" w:eastAsia="仿宋" w:cs="方正仿宋_GB2312"/>
                <w:sz w:val="28"/>
                <w:szCs w:val="28"/>
              </w:rPr>
              <w:t>依托专业汽车综合实训基地在2019年获批广西示范特色专业及实训基地，同年获批广西职业教育汽车专业群发展研究基地，形成集科研、实践教育于一体的实验实训平台，使我校专业发展方面具有鲜明的特色，带动我校职业教育专业建设水平整体提升，为我校校内教师、企业员工、社会人才的科研技术研发提供了良好的实训基地和设施设备，在区内职业教育专业群发展研究中起到良好的促进作用。</w:t>
            </w:r>
          </w:p>
          <w:p>
            <w:pPr>
              <w:spacing w:line="560" w:lineRule="exact"/>
              <w:ind w:firstLine="560" w:firstLineChars="200"/>
              <w:rPr>
                <w:rFonts w:hint="eastAsia" w:ascii="黑体" w:hAnsi="黑体" w:eastAsia="黑体" w:cs="方正仿宋_GB2312"/>
                <w:sz w:val="28"/>
                <w:szCs w:val="28"/>
              </w:rPr>
            </w:pPr>
            <w:r>
              <w:rPr>
                <w:rFonts w:hint="eastAsia" w:ascii="黑体" w:hAnsi="黑体" w:eastAsia="黑体" w:cs="方正仿宋_GB2312"/>
                <w:sz w:val="28"/>
                <w:szCs w:val="28"/>
              </w:rPr>
              <w:t>二、社会服务情况</w:t>
            </w:r>
          </w:p>
          <w:p>
            <w:pPr>
              <w:spacing w:line="560" w:lineRule="exact"/>
              <w:ind w:firstLine="560" w:firstLineChars="200"/>
              <w:rPr>
                <w:rFonts w:hint="eastAsia" w:ascii="仿宋" w:hAnsi="仿宋" w:eastAsia="仿宋" w:cs="方正仿宋_GB2312"/>
                <w:sz w:val="28"/>
                <w:szCs w:val="28"/>
              </w:rPr>
            </w:pPr>
            <w:r>
              <w:rPr>
                <w:rFonts w:hint="eastAsia" w:ascii="仿宋" w:hAnsi="仿宋" w:eastAsia="仿宋" w:cs="方正仿宋_GB2312"/>
                <w:sz w:val="28"/>
                <w:szCs w:val="28"/>
              </w:rPr>
              <w:t>我校充分利用学校充足的师资、完善的教学设备，积极开展科研技术培训和讲座，积极推广新能源汽车行业、产业技术更新换代和技术革新。让教学经验丰富的教师联合企业面向社会开展相关培训，本专业教师团队近</w:t>
            </w:r>
            <w:r>
              <w:rPr>
                <w:rFonts w:hint="eastAsia" w:ascii="仿宋" w:hAnsi="仿宋" w:eastAsia="仿宋" w:cs="方正仿宋_GB2312"/>
                <w:sz w:val="28"/>
                <w:szCs w:val="28"/>
                <w:lang w:val="en-US" w:eastAsia="zh-CN"/>
              </w:rPr>
              <w:t>三</w:t>
            </w:r>
            <w:r>
              <w:rPr>
                <w:rFonts w:hint="eastAsia" w:ascii="仿宋" w:hAnsi="仿宋" w:eastAsia="仿宋" w:cs="方正仿宋_GB2312"/>
                <w:sz w:val="28"/>
                <w:szCs w:val="28"/>
              </w:rPr>
              <w:t>年参加社会服务活动成果共计</w:t>
            </w:r>
            <w:r>
              <w:rPr>
                <w:rFonts w:hint="eastAsia" w:ascii="仿宋" w:hAnsi="仿宋" w:eastAsia="仿宋" w:cs="方正仿宋_GB2312"/>
                <w:sz w:val="28"/>
                <w:szCs w:val="28"/>
                <w:lang w:val="en-US" w:eastAsia="zh-CN"/>
              </w:rPr>
              <w:t>6</w:t>
            </w:r>
            <w:r>
              <w:rPr>
                <w:rFonts w:hint="eastAsia" w:ascii="仿宋" w:hAnsi="仿宋" w:eastAsia="仿宋" w:cs="方正仿宋_GB2312"/>
                <w:sz w:val="28"/>
                <w:szCs w:val="28"/>
              </w:rPr>
              <w:t>项，合作单位企业有</w:t>
            </w:r>
            <w:r>
              <w:rPr>
                <w:rFonts w:hint="eastAsia" w:ascii="仿宋" w:hAnsi="仿宋" w:eastAsia="仿宋" w:cs="方正仿宋_GB2312"/>
                <w:sz w:val="28"/>
                <w:szCs w:val="28"/>
                <w:lang w:val="en-US" w:eastAsia="zh-CN"/>
              </w:rPr>
              <w:t>6</w:t>
            </w:r>
            <w:r>
              <w:rPr>
                <w:rFonts w:hint="eastAsia" w:ascii="仿宋" w:hAnsi="仿宋" w:eastAsia="仿宋" w:cs="方正仿宋_GB2312"/>
                <w:sz w:val="28"/>
                <w:szCs w:val="28"/>
              </w:rPr>
              <w:t>家，其中包含企业、事业单位等，为企业、单位解决生产实际问题、专业技术项目攻关、培养高</w:t>
            </w:r>
            <w:r>
              <w:rPr>
                <w:rFonts w:hint="eastAsia" w:ascii="仿宋" w:hAnsi="仿宋" w:eastAsia="仿宋" w:cs="方正仿宋_GB2312"/>
                <w:sz w:val="28"/>
                <w:szCs w:val="28"/>
                <w:lang w:val="en-US" w:eastAsia="zh-CN"/>
              </w:rPr>
              <w:t>素质</w:t>
            </w:r>
            <w:r>
              <w:rPr>
                <w:rFonts w:hint="eastAsia" w:ascii="仿宋" w:hAnsi="仿宋" w:eastAsia="仿宋" w:cs="方正仿宋_GB2312"/>
                <w:sz w:val="28"/>
                <w:szCs w:val="28"/>
              </w:rPr>
              <w:t>技术技能人才等。</w:t>
            </w:r>
          </w:p>
          <w:p>
            <w:pPr>
              <w:spacing w:line="560" w:lineRule="exact"/>
              <w:ind w:firstLine="560" w:firstLineChars="200"/>
              <w:rPr>
                <w:rFonts w:hint="eastAsia" w:ascii="仿宋" w:hAnsi="仿宋" w:eastAsia="仿宋" w:cs="方正仿宋_GB2312"/>
                <w:sz w:val="28"/>
                <w:szCs w:val="28"/>
              </w:rPr>
            </w:pPr>
            <w:r>
              <w:rPr>
                <w:rFonts w:hint="eastAsia" w:ascii="仿宋" w:hAnsi="仿宋" w:eastAsia="仿宋" w:cs="方正仿宋_GB2312"/>
                <w:sz w:val="28"/>
                <w:szCs w:val="28"/>
              </w:rPr>
              <w:t>通过科技创新平台建设，以资源整合与集成为主线</w:t>
            </w:r>
            <w:r>
              <w:rPr>
                <w:rFonts w:hint="eastAsia" w:ascii="仿宋" w:hAnsi="仿宋" w:eastAsia="仿宋" w:cs="方正仿宋_GB2312"/>
                <w:sz w:val="28"/>
                <w:szCs w:val="28"/>
                <w:lang w:eastAsia="zh-CN"/>
              </w:rPr>
              <w:t>，</w:t>
            </w:r>
            <w:r>
              <w:rPr>
                <w:rFonts w:hint="eastAsia" w:ascii="仿宋" w:hAnsi="仿宋" w:eastAsia="仿宋" w:cs="方正仿宋_GB2312"/>
                <w:sz w:val="28"/>
                <w:szCs w:val="28"/>
              </w:rPr>
              <w:t>提升科研能力和增强持续创新能力。积极引导和鼓励教师和企业进行合作，在解决企业的科技</w:t>
            </w:r>
            <w:r>
              <w:rPr>
                <w:rFonts w:hint="eastAsia" w:ascii="仿宋" w:hAnsi="仿宋" w:eastAsia="仿宋" w:cs="方正仿宋_GB2312"/>
                <w:sz w:val="28"/>
                <w:szCs w:val="28"/>
                <w:lang w:eastAsia="zh-CN"/>
              </w:rPr>
              <w:t>难题</w:t>
            </w:r>
            <w:r>
              <w:rPr>
                <w:rFonts w:hint="eastAsia" w:ascii="仿宋" w:hAnsi="仿宋" w:eastAsia="仿宋" w:cs="方正仿宋_GB2312"/>
                <w:sz w:val="28"/>
                <w:szCs w:val="28"/>
              </w:rPr>
              <w:t>的同时提升教师科研能力。校企定期进行科研技术交流和探讨，共同开展的科学研究，因课题本身</w:t>
            </w:r>
            <w:r>
              <w:rPr>
                <w:rFonts w:hint="eastAsia" w:ascii="仿宋" w:hAnsi="仿宋" w:eastAsia="仿宋" w:cs="方正仿宋_GB2312"/>
                <w:sz w:val="28"/>
                <w:szCs w:val="28"/>
                <w:lang w:eastAsia="zh-CN"/>
              </w:rPr>
              <w:t>来自</w:t>
            </w:r>
            <w:r>
              <w:rPr>
                <w:rFonts w:hint="eastAsia" w:ascii="仿宋" w:hAnsi="仿宋" w:eastAsia="仿宋" w:cs="方正仿宋_GB2312"/>
                <w:sz w:val="28"/>
                <w:szCs w:val="28"/>
              </w:rPr>
              <w:t>企业生产实际，是企业急需解决的现实需要，所产出的成果具有较强的针对性和实用性，又直接运用于企业生产，实现了科技成果的快速转化，并获得了较好的经济效益和社会效益。</w:t>
            </w:r>
          </w:p>
          <w:p>
            <w:pPr>
              <w:spacing w:line="560" w:lineRule="exact"/>
              <w:ind w:firstLine="560" w:firstLineChars="200"/>
              <w:rPr>
                <w:rFonts w:hint="eastAsia" w:ascii="黑体" w:hAnsi="黑体" w:eastAsia="黑体" w:cs="方正仿宋_GB2312"/>
                <w:sz w:val="28"/>
                <w:szCs w:val="28"/>
              </w:rPr>
            </w:pPr>
            <w:r>
              <w:rPr>
                <w:rFonts w:hint="eastAsia" w:ascii="黑体" w:hAnsi="黑体" w:eastAsia="黑体" w:cs="方正仿宋_GB2312"/>
                <w:sz w:val="28"/>
                <w:szCs w:val="28"/>
              </w:rPr>
              <w:t>三、职业培训</w:t>
            </w:r>
          </w:p>
          <w:p>
            <w:pPr>
              <w:spacing w:line="560" w:lineRule="exact"/>
              <w:ind w:firstLine="560" w:firstLineChars="200"/>
              <w:rPr>
                <w:rFonts w:hint="eastAsia" w:ascii="仿宋" w:hAnsi="仿宋" w:eastAsia="仿宋" w:cs="方正仿宋_GB2312"/>
                <w:sz w:val="28"/>
                <w:szCs w:val="28"/>
              </w:rPr>
            </w:pPr>
            <w:r>
              <w:rPr>
                <w:rFonts w:hint="eastAsia" w:ascii="仿宋" w:hAnsi="仿宋" w:eastAsia="仿宋" w:cs="方正仿宋_GB2312"/>
                <w:sz w:val="28"/>
                <w:szCs w:val="28"/>
              </w:rPr>
              <w:t>我校是1+X职业技能等级证书试点单位，目前是中车行的培训项目有：1+X汽车运用与维修项目、 1+X智能新能源项目、1+X汽车营销评估与金融保险服务技术项目；中德诺浩的培训项目有：1+X商用车销售服务项目、1+X智能网联汽车检测与运维项目等。</w:t>
            </w:r>
            <w:r>
              <w:rPr>
                <w:rFonts w:hint="eastAsia" w:ascii="仿宋" w:hAnsi="仿宋" w:eastAsia="仿宋" w:cs="方正仿宋_GB2312"/>
                <w:sz w:val="28"/>
                <w:szCs w:val="28"/>
                <w:lang w:val="en-US" w:eastAsia="zh-CN"/>
              </w:rPr>
              <w:t>本专业</w:t>
            </w:r>
            <w:r>
              <w:rPr>
                <w:rFonts w:hint="eastAsia" w:ascii="仿宋" w:hAnsi="仿宋" w:eastAsia="仿宋" w:cs="方正仿宋_GB2312"/>
                <w:sz w:val="28"/>
                <w:szCs w:val="28"/>
              </w:rPr>
              <w:t>教学团队组织经验丰富的教师，联合企业面向社会开展职业培训，提高他们的职业技能水平，促进他们成为产业工人。对崇左市</w:t>
            </w:r>
            <w:r>
              <w:rPr>
                <w:rFonts w:hint="eastAsia" w:ascii="仿宋" w:hAnsi="仿宋" w:eastAsia="仿宋" w:cs="方正仿宋_GB2312"/>
                <w:sz w:val="28"/>
                <w:szCs w:val="28"/>
                <w:lang w:val="en-US" w:eastAsia="zh-CN"/>
              </w:rPr>
              <w:t>劳务市场及行业企业</w:t>
            </w:r>
            <w:r>
              <w:rPr>
                <w:rFonts w:hint="eastAsia" w:ascii="仿宋" w:hAnsi="仿宋" w:eastAsia="仿宋" w:cs="方正仿宋_GB2312"/>
                <w:sz w:val="28"/>
                <w:szCs w:val="28"/>
              </w:rPr>
              <w:t>进行汽车销售、汽车售后、汽车维修等职业技能培训，</w:t>
            </w:r>
            <w:r>
              <w:rPr>
                <w:rFonts w:hint="eastAsia" w:ascii="仿宋" w:hAnsi="仿宋" w:eastAsia="仿宋" w:cs="仿宋"/>
                <w:color w:val="auto"/>
                <w:kern w:val="2"/>
                <w:sz w:val="28"/>
                <w:szCs w:val="28"/>
                <w:lang w:val="en-US" w:eastAsia="zh-CN" w:bidi="ar-SA"/>
              </w:rPr>
              <w:t>年均开展培训</w:t>
            </w:r>
            <w:r>
              <w:rPr>
                <w:rFonts w:hint="eastAsia" w:ascii="仿宋" w:hAnsi="仿宋" w:eastAsia="仿宋" w:cs="方正仿宋_GB2312"/>
                <w:sz w:val="28"/>
                <w:szCs w:val="28"/>
                <w:highlight w:val="none"/>
                <w:lang w:val="en-US" w:eastAsia="zh-CN"/>
              </w:rPr>
              <w:t>1600</w:t>
            </w:r>
            <w:r>
              <w:rPr>
                <w:rFonts w:hint="eastAsia" w:ascii="仿宋" w:hAnsi="仿宋" w:eastAsia="仿宋" w:cs="方正仿宋_GB2312"/>
                <w:sz w:val="28"/>
                <w:szCs w:val="28"/>
                <w:highlight w:val="none"/>
              </w:rPr>
              <w:t>人次以上</w:t>
            </w:r>
            <w:r>
              <w:rPr>
                <w:rFonts w:hint="eastAsia" w:ascii="仿宋" w:hAnsi="仿宋" w:eastAsia="仿宋" w:cs="方正仿宋_GB2312"/>
                <w:sz w:val="28"/>
                <w:szCs w:val="28"/>
              </w:rPr>
              <w:t>，</w:t>
            </w:r>
            <w:r>
              <w:rPr>
                <w:rFonts w:hint="eastAsia" w:ascii="仿宋" w:hAnsi="仿宋" w:eastAsia="仿宋" w:cs="方正仿宋_GB2312"/>
                <w:color w:val="000000"/>
                <w:sz w:val="28"/>
                <w:szCs w:val="28"/>
                <w:lang w:eastAsia="zh-CN"/>
              </w:rPr>
              <w:t>不少于在校生人数</w:t>
            </w:r>
            <w:r>
              <w:rPr>
                <w:rFonts w:hint="eastAsia" w:ascii="仿宋" w:hAnsi="仿宋" w:eastAsia="仿宋" w:cs="方正仿宋_GB2312"/>
                <w:color w:val="000000"/>
                <w:sz w:val="28"/>
                <w:szCs w:val="28"/>
                <w:lang w:val="en-US" w:eastAsia="zh-CN"/>
              </w:rPr>
              <w:t>2倍</w:t>
            </w:r>
            <w:r>
              <w:rPr>
                <w:rFonts w:hint="eastAsia" w:ascii="仿宋" w:hAnsi="仿宋" w:eastAsia="仿宋" w:cs="方正仿宋_GB2312"/>
                <w:color w:val="000000"/>
                <w:sz w:val="28"/>
                <w:szCs w:val="28"/>
                <w:lang w:eastAsia="zh-CN"/>
              </w:rPr>
              <w:t>，</w:t>
            </w:r>
            <w:r>
              <w:rPr>
                <w:rFonts w:hint="eastAsia" w:ascii="仿宋" w:hAnsi="仿宋" w:eastAsia="仿宋" w:cs="方正仿宋_GB2312"/>
                <w:sz w:val="28"/>
                <w:szCs w:val="28"/>
              </w:rPr>
              <w:t>充分发挥职业院校的职业培训职能。</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hint="eastAsia" w:ascii="仿宋" w:hAnsi="仿宋" w:eastAsia="仿宋" w:cs="仿宋"/>
                <w:sz w:val="24"/>
                <w:szCs w:val="24"/>
              </w:rPr>
              <w:t>专家组评议意见</w:t>
            </w:r>
          </w:p>
        </w:tc>
        <w:tc>
          <w:tcPr>
            <w:tcW w:w="7844" w:type="dxa"/>
            <w:gridSpan w:val="4"/>
            <w:vAlign w:val="bottom"/>
          </w:tcPr>
          <w:p>
            <w:pPr>
              <w:pStyle w:val="2"/>
              <w:rPr>
                <w:rFonts w:hint="eastAsia" w:ascii="仿宋" w:hAnsi="仿宋" w:eastAsia="仿宋" w:cs="仿宋"/>
                <w:sz w:val="28"/>
                <w:szCs w:val="28"/>
                <w:lang w:bidi="ar"/>
              </w:rPr>
            </w:pPr>
          </w:p>
          <w:p>
            <w:pPr>
              <w:pStyle w:val="3"/>
              <w:rPr>
                <w:rFonts w:hint="eastAsia" w:ascii="仿宋" w:hAnsi="仿宋" w:eastAsia="仿宋" w:cs="仿宋"/>
                <w:sz w:val="28"/>
                <w:szCs w:val="28"/>
                <w:lang w:bidi="ar"/>
              </w:rPr>
            </w:pPr>
          </w:p>
          <w:p>
            <w:pPr>
              <w:pStyle w:val="3"/>
              <w:rPr>
                <w:rFonts w:hint="eastAsia" w:ascii="仿宋" w:hAnsi="仿宋" w:eastAsia="仿宋" w:cs="仿宋"/>
                <w:sz w:val="28"/>
                <w:szCs w:val="28"/>
                <w:lang w:bidi="ar"/>
              </w:rPr>
            </w:pPr>
          </w:p>
          <w:p>
            <w:pPr>
              <w:pStyle w:val="3"/>
              <w:rPr>
                <w:rFonts w:hint="eastAsia" w:ascii="仿宋" w:hAnsi="仿宋" w:eastAsia="仿宋" w:cs="仿宋"/>
                <w:sz w:val="28"/>
                <w:szCs w:val="28"/>
                <w:lang w:bidi="ar"/>
              </w:rPr>
            </w:pPr>
          </w:p>
          <w:p>
            <w:pPr>
              <w:pStyle w:val="3"/>
              <w:rPr>
                <w:rFonts w:hint="eastAsia" w:ascii="仿宋" w:hAnsi="仿宋" w:eastAsia="仿宋" w:cs="仿宋"/>
                <w:sz w:val="28"/>
                <w:szCs w:val="28"/>
                <w:lang w:bidi="ar"/>
              </w:rPr>
            </w:pPr>
          </w:p>
          <w:p>
            <w:pPr>
              <w:tabs>
                <w:tab w:val="left" w:pos="478"/>
              </w:tabs>
              <w:snapToGrid w:val="0"/>
              <w:spacing w:line="560" w:lineRule="exact"/>
              <w:ind w:firstLine="2520" w:firstLineChars="900"/>
              <w:rPr>
                <w:rFonts w:hint="eastAsia" w:ascii="仿宋" w:hAnsi="仿宋" w:eastAsia="仿宋" w:cs="仿宋"/>
                <w:sz w:val="24"/>
                <w:szCs w:val="24"/>
                <w:lang w:bidi="ar"/>
              </w:rPr>
            </w:pPr>
            <w:r>
              <w:rPr>
                <w:rFonts w:hint="eastAsia" w:ascii="仿宋" w:hAnsi="仿宋" w:eastAsia="仿宋" w:cs="仿宋"/>
                <w:sz w:val="28"/>
                <w:szCs w:val="28"/>
                <w:lang w:bidi="ar"/>
              </w:rPr>
              <w:t>专家组长签字：</w:t>
            </w:r>
            <w:r>
              <w:rPr>
                <w:rFonts w:hint="eastAsia" w:ascii="仿宋" w:hAnsi="仿宋" w:eastAsia="仿宋" w:cs="仿宋"/>
                <w:sz w:val="24"/>
                <w:szCs w:val="24"/>
                <w:lang w:bidi="ar"/>
              </w:rPr>
              <w:t xml:space="preserve"> </w:t>
            </w:r>
          </w:p>
          <w:p>
            <w:pPr>
              <w:tabs>
                <w:tab w:val="left" w:pos="478"/>
              </w:tabs>
              <w:snapToGrid w:val="0"/>
              <w:spacing w:line="560" w:lineRule="exact"/>
              <w:rPr>
                <w:rFonts w:ascii="Times New Roman" w:hAnsi="Times New Roman" w:eastAsia="仿宋_GB2312" w:cs="Times New Roman"/>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88"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省级教育行政部门复核意见</w:t>
            </w:r>
          </w:p>
          <w:p>
            <w:pPr>
              <w:snapToGrid w:val="0"/>
              <w:jc w:val="both"/>
              <w:rPr>
                <w:rFonts w:ascii="Times New Roman" w:hAnsi="Times New Roman" w:eastAsia="方正仿宋简体" w:cs="Times New Roman"/>
                <w:sz w:val="24"/>
                <w:szCs w:val="24"/>
              </w:rPr>
            </w:pPr>
          </w:p>
        </w:tc>
        <w:tc>
          <w:tcPr>
            <w:tcW w:w="7844" w:type="dxa"/>
            <w:gridSpan w:val="4"/>
            <w:vAlign w:val="bottom"/>
          </w:tcPr>
          <w:p>
            <w:pPr>
              <w:snapToGrid w:val="0"/>
              <w:spacing w:line="560" w:lineRule="exact"/>
              <w:jc w:val="both"/>
              <w:rPr>
                <w:rFonts w:ascii="Times New Roman" w:hAnsi="Times New Roman" w:eastAsia="仿宋_GB2312" w:cs="Times New Roman"/>
                <w:sz w:val="20"/>
                <w:szCs w:val="20"/>
                <w:lang w:bidi="ar"/>
              </w:rPr>
            </w:pPr>
          </w:p>
          <w:p>
            <w:pPr>
              <w:pStyle w:val="12"/>
            </w:pPr>
          </w:p>
          <w:p/>
          <w:p>
            <w:pPr>
              <w:pStyle w:val="2"/>
            </w:pPr>
          </w:p>
          <w:p>
            <w:pPr>
              <w:snapToGrid w:val="0"/>
              <w:spacing w:line="560" w:lineRule="exact"/>
              <w:jc w:val="both"/>
              <w:rPr>
                <w:rFonts w:hint="eastAsia" w:ascii="仿宋" w:hAnsi="仿宋" w:eastAsia="仿宋" w:cs="仿宋"/>
                <w:sz w:val="28"/>
                <w:szCs w:val="28"/>
              </w:rPr>
            </w:pPr>
            <w:r>
              <w:rPr>
                <w:rFonts w:hint="eastAsia" w:ascii="仿宋" w:hAnsi="仿宋" w:eastAsia="仿宋" w:cs="仿宋"/>
                <w:sz w:val="28"/>
                <w:szCs w:val="28"/>
                <w:lang w:bidi="ar"/>
              </w:rPr>
              <w:t xml:space="preserve">      </w:t>
            </w:r>
            <w:r>
              <w:rPr>
                <w:rFonts w:hint="eastAsia" w:ascii="仿宋" w:hAnsi="仿宋" w:eastAsia="仿宋" w:cs="仿宋"/>
                <w:sz w:val="28"/>
                <w:szCs w:val="28"/>
                <w:lang w:val="en-US" w:eastAsia="zh-CN" w:bidi="ar"/>
              </w:rPr>
              <w:t xml:space="preserve">                          </w:t>
            </w:r>
            <w:r>
              <w:rPr>
                <w:rFonts w:hint="eastAsia" w:ascii="仿宋" w:hAnsi="仿宋" w:eastAsia="仿宋" w:cs="仿宋"/>
                <w:sz w:val="28"/>
                <w:szCs w:val="28"/>
                <w:lang w:bidi="ar"/>
              </w:rPr>
              <w:t xml:space="preserve"> （盖章）                  </w:t>
            </w:r>
          </w:p>
          <w:p>
            <w:pPr>
              <w:snapToGrid w:val="0"/>
              <w:spacing w:line="560" w:lineRule="exact"/>
              <w:jc w:val="center"/>
              <w:rPr>
                <w:rFonts w:ascii="Times New Roman" w:hAnsi="Times New Roman" w:eastAsia="方正仿宋简体" w:cs="Times New Roman"/>
                <w:sz w:val="18"/>
                <w:szCs w:val="18"/>
                <w:lang w:bidi="ar"/>
              </w:rPr>
            </w:pPr>
            <w:r>
              <w:rPr>
                <w:rFonts w:hint="eastAsia" w:ascii="仿宋" w:hAnsi="仿宋" w:eastAsia="仿宋" w:cs="仿宋"/>
                <w:sz w:val="28"/>
                <w:szCs w:val="28"/>
                <w:lang w:val="en-US" w:eastAsia="zh-CN" w:bidi="ar"/>
              </w:rPr>
              <w:t xml:space="preserve">                    </w:t>
            </w:r>
            <w:r>
              <w:rPr>
                <w:rFonts w:hint="eastAsia" w:ascii="仿宋" w:hAnsi="仿宋" w:eastAsia="仿宋" w:cs="仿宋"/>
                <w:sz w:val="28"/>
                <w:szCs w:val="28"/>
                <w:lang w:bidi="ar"/>
              </w:rPr>
              <w:t xml:space="preserve">年    月    日   </w:t>
            </w:r>
            <w:r>
              <w:rPr>
                <w:rFonts w:ascii="Times New Roman" w:hAnsi="Times New Roman" w:eastAsia="仿宋_GB2312" w:cs="Times New Roman"/>
                <w:sz w:val="28"/>
                <w:szCs w:val="28"/>
                <w:lang w:bidi="ar"/>
              </w:rPr>
              <w:t xml:space="preserve">   </w:t>
            </w:r>
            <w:r>
              <w:rPr>
                <w:rFonts w:ascii="Times New Roman" w:hAnsi="Times New Roman" w:eastAsia="方正仿宋简体" w:cs="Times New Roman"/>
                <w:sz w:val="18"/>
                <w:szCs w:val="18"/>
                <w:lang w:bidi="ar"/>
              </w:rPr>
              <w:t xml:space="preserve">         </w:t>
            </w:r>
          </w:p>
        </w:tc>
      </w:tr>
    </w:tbl>
    <w:p>
      <w:pPr>
        <w:rPr>
          <w:rFonts w:hint="eastAsia" w:eastAsiaTheme="minorEastAsia"/>
          <w:lang w:eastAsia="zh-CN"/>
        </w:rPr>
      </w:pPr>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C5E8FD-F7A5-4C13-A9AA-61230FBFE3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4EA70547-13E8-47B2-9D71-B64622366F54}"/>
  </w:font>
  <w:font w:name="楷体_GB2312">
    <w:panose1 w:val="02010609030101010101"/>
    <w:charset w:val="86"/>
    <w:family w:val="modern"/>
    <w:pitch w:val="default"/>
    <w:sig w:usb0="00000001" w:usb1="080E0000" w:usb2="00000000" w:usb3="00000000" w:csb0="00040000" w:csb1="00000000"/>
    <w:embedRegular r:id="rId3" w:fontKey="{BD3692DC-0B3E-4FD8-8945-CA23B425A2AC}"/>
  </w:font>
  <w:font w:name="仿宋_GB2312">
    <w:panose1 w:val="02010609030101010101"/>
    <w:charset w:val="86"/>
    <w:family w:val="modern"/>
    <w:pitch w:val="default"/>
    <w:sig w:usb0="00000001" w:usb1="080E0000" w:usb2="00000000" w:usb3="00000000" w:csb0="00040000" w:csb1="00000000"/>
    <w:embedRegular r:id="rId4" w:fontKey="{8BD9E86D-2389-48BA-8CFC-CAD6CAEB2DC5}"/>
  </w:font>
  <w:font w:name="仿宋">
    <w:panose1 w:val="02010609060101010101"/>
    <w:charset w:val="86"/>
    <w:family w:val="modern"/>
    <w:pitch w:val="default"/>
    <w:sig w:usb0="800002BF" w:usb1="38CF7CFA" w:usb2="00000016" w:usb3="00000000" w:csb0="00040001" w:csb1="00000000"/>
    <w:embedRegular r:id="rId5" w:fontKey="{3D2081D2-1447-40D7-BF44-638A4392194A}"/>
  </w:font>
  <w:font w:name="方正仿宋简体">
    <w:altName w:val="微软雅黑"/>
    <w:panose1 w:val="02010601030101010101"/>
    <w:charset w:val="86"/>
    <w:family w:val="script"/>
    <w:pitch w:val="default"/>
    <w:sig w:usb0="00000000" w:usb1="00000000" w:usb2="00000000" w:usb3="00000000" w:csb0="00040000" w:csb1="00000000"/>
    <w:embedRegular r:id="rId6" w:fontKey="{A461D6C5-9797-457D-BC02-B99265604E53}"/>
  </w:font>
  <w:font w:name="楷体">
    <w:panose1 w:val="02010609060101010101"/>
    <w:charset w:val="86"/>
    <w:family w:val="modern"/>
    <w:pitch w:val="default"/>
    <w:sig w:usb0="800002BF" w:usb1="38CF7CFA" w:usb2="00000016" w:usb3="00000000" w:csb0="00040001" w:csb1="00000000"/>
    <w:embedRegular r:id="rId7" w:fontKey="{54B43181-5118-43AB-B31D-3A23ED69BCFB}"/>
  </w:font>
  <w:font w:name="方正仿宋_GB2312">
    <w:altName w:val="仿宋"/>
    <w:panose1 w:val="00000000000000000000"/>
    <w:charset w:val="86"/>
    <w:family w:val="auto"/>
    <w:pitch w:val="default"/>
    <w:sig w:usb0="00000000" w:usb1="00000000" w:usb2="00000012" w:usb3="00000000" w:csb0="00040001" w:csb1="00000000"/>
    <w:embedRegular r:id="rId8" w:fontKey="{6A521C22-E409-4D4F-9809-83D6D4065769}"/>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sdt>
      <w:sdtPr>
        <w:rPr>
          <w:sz w:val="28"/>
          <w:szCs w:val="28"/>
        </w:rPr>
        <w:id w:val="-176116451"/>
      </w:sdtPr>
      <w:sdtEndPr>
        <w:rPr>
          <w:sz w:val="28"/>
          <w:szCs w:val="28"/>
        </w:r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sdt>
      <w:sdtPr>
        <w:rPr>
          <w:sz w:val="28"/>
          <w:szCs w:val="28"/>
        </w:rPr>
        <w:id w:val="-1805466010"/>
      </w:sdtPr>
      <w:sdtEndPr>
        <w:rPr>
          <w:sz w:val="28"/>
          <w:szCs w:val="28"/>
        </w:rPr>
      </w:sdtEndP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1YzgxMzA1ZjgzZDZhY2Q4NDRkZGU5YmU2ZGRkNmMifQ=="/>
    <w:docVar w:name="KSO_WPS_MARK_KEY" w:val="a2d81f92-2ce3-4e62-9ddc-cd786e50d55f"/>
  </w:docVars>
  <w:rsids>
    <w:rsidRoot w:val="00487FD1"/>
    <w:rsid w:val="001101E5"/>
    <w:rsid w:val="002C1338"/>
    <w:rsid w:val="002D3321"/>
    <w:rsid w:val="00487FD1"/>
    <w:rsid w:val="005A6487"/>
    <w:rsid w:val="006F0E39"/>
    <w:rsid w:val="00732DF8"/>
    <w:rsid w:val="007578B4"/>
    <w:rsid w:val="007E1287"/>
    <w:rsid w:val="008D5666"/>
    <w:rsid w:val="008F4C51"/>
    <w:rsid w:val="00BA127E"/>
    <w:rsid w:val="00CA1554"/>
    <w:rsid w:val="00E04D94"/>
    <w:rsid w:val="00E15EDC"/>
    <w:rsid w:val="00E53907"/>
    <w:rsid w:val="01015A7F"/>
    <w:rsid w:val="01F176F8"/>
    <w:rsid w:val="05B02877"/>
    <w:rsid w:val="063412EF"/>
    <w:rsid w:val="068C649A"/>
    <w:rsid w:val="079D68A1"/>
    <w:rsid w:val="0865674A"/>
    <w:rsid w:val="08E83A95"/>
    <w:rsid w:val="094C3466"/>
    <w:rsid w:val="09CA50AD"/>
    <w:rsid w:val="0AE20526"/>
    <w:rsid w:val="0C483220"/>
    <w:rsid w:val="0DEF5FE0"/>
    <w:rsid w:val="0DFE5677"/>
    <w:rsid w:val="0E3C1CFB"/>
    <w:rsid w:val="0E590A6D"/>
    <w:rsid w:val="0E6059EA"/>
    <w:rsid w:val="0E6175D5"/>
    <w:rsid w:val="0EC06250"/>
    <w:rsid w:val="0F696F94"/>
    <w:rsid w:val="0FF327CF"/>
    <w:rsid w:val="10DB57FB"/>
    <w:rsid w:val="12E10704"/>
    <w:rsid w:val="12E57060"/>
    <w:rsid w:val="162E1EB2"/>
    <w:rsid w:val="17EF1A89"/>
    <w:rsid w:val="18EF22F7"/>
    <w:rsid w:val="193A74A0"/>
    <w:rsid w:val="1B292DEA"/>
    <w:rsid w:val="1BE7599C"/>
    <w:rsid w:val="1C0F0DC0"/>
    <w:rsid w:val="1CAD049C"/>
    <w:rsid w:val="1DAA67D8"/>
    <w:rsid w:val="1DC51D0D"/>
    <w:rsid w:val="1EED2CD1"/>
    <w:rsid w:val="1EF26B32"/>
    <w:rsid w:val="1FA8087C"/>
    <w:rsid w:val="1FCD4638"/>
    <w:rsid w:val="20AE3435"/>
    <w:rsid w:val="21FD6432"/>
    <w:rsid w:val="222A65E3"/>
    <w:rsid w:val="22611B5D"/>
    <w:rsid w:val="227F07DD"/>
    <w:rsid w:val="22B934C3"/>
    <w:rsid w:val="23392AA3"/>
    <w:rsid w:val="24B645DC"/>
    <w:rsid w:val="26022762"/>
    <w:rsid w:val="26836F9B"/>
    <w:rsid w:val="26A86741"/>
    <w:rsid w:val="26B01176"/>
    <w:rsid w:val="276F6846"/>
    <w:rsid w:val="29841D24"/>
    <w:rsid w:val="29EB13EC"/>
    <w:rsid w:val="2AD52E64"/>
    <w:rsid w:val="2D7352E2"/>
    <w:rsid w:val="2D900989"/>
    <w:rsid w:val="2E0979F4"/>
    <w:rsid w:val="30367854"/>
    <w:rsid w:val="307D1EE9"/>
    <w:rsid w:val="324E00CB"/>
    <w:rsid w:val="32D708D2"/>
    <w:rsid w:val="333A2B20"/>
    <w:rsid w:val="3431735D"/>
    <w:rsid w:val="34CA0BC8"/>
    <w:rsid w:val="34FF38FF"/>
    <w:rsid w:val="35BA15D4"/>
    <w:rsid w:val="36681030"/>
    <w:rsid w:val="3818523B"/>
    <w:rsid w:val="382611A3"/>
    <w:rsid w:val="3914549F"/>
    <w:rsid w:val="39F25FAD"/>
    <w:rsid w:val="3A390D08"/>
    <w:rsid w:val="3C3245BA"/>
    <w:rsid w:val="3CCE196D"/>
    <w:rsid w:val="3F002B41"/>
    <w:rsid w:val="41CC1DB3"/>
    <w:rsid w:val="42272582"/>
    <w:rsid w:val="42C40A81"/>
    <w:rsid w:val="42E90086"/>
    <w:rsid w:val="431A7A7B"/>
    <w:rsid w:val="43CA06DE"/>
    <w:rsid w:val="44C304A5"/>
    <w:rsid w:val="451638EA"/>
    <w:rsid w:val="45C75D73"/>
    <w:rsid w:val="48164D90"/>
    <w:rsid w:val="48B308B3"/>
    <w:rsid w:val="4AD14F9E"/>
    <w:rsid w:val="4B294DDA"/>
    <w:rsid w:val="4DDC14A9"/>
    <w:rsid w:val="4E0336C0"/>
    <w:rsid w:val="521741C2"/>
    <w:rsid w:val="52A23380"/>
    <w:rsid w:val="52BC73DD"/>
    <w:rsid w:val="54164C11"/>
    <w:rsid w:val="548171D7"/>
    <w:rsid w:val="54BD73A0"/>
    <w:rsid w:val="555C7B5A"/>
    <w:rsid w:val="56764C4B"/>
    <w:rsid w:val="56A47EB2"/>
    <w:rsid w:val="56DA6A25"/>
    <w:rsid w:val="592520BF"/>
    <w:rsid w:val="597E51C8"/>
    <w:rsid w:val="59C12859"/>
    <w:rsid w:val="5AB01455"/>
    <w:rsid w:val="5AD8799E"/>
    <w:rsid w:val="5CFD1C22"/>
    <w:rsid w:val="5E6A3D95"/>
    <w:rsid w:val="5F5B221E"/>
    <w:rsid w:val="60793CB6"/>
    <w:rsid w:val="60957113"/>
    <w:rsid w:val="609E54CA"/>
    <w:rsid w:val="60B77F5F"/>
    <w:rsid w:val="60E207E9"/>
    <w:rsid w:val="60FE7359"/>
    <w:rsid w:val="62436329"/>
    <w:rsid w:val="62CF25A2"/>
    <w:rsid w:val="665A6250"/>
    <w:rsid w:val="67D06B1D"/>
    <w:rsid w:val="68001718"/>
    <w:rsid w:val="686D1131"/>
    <w:rsid w:val="68776F74"/>
    <w:rsid w:val="68844983"/>
    <w:rsid w:val="68E679A2"/>
    <w:rsid w:val="6AB84217"/>
    <w:rsid w:val="6B1B7E43"/>
    <w:rsid w:val="6BA617C6"/>
    <w:rsid w:val="6C441742"/>
    <w:rsid w:val="6E9C74ED"/>
    <w:rsid w:val="6FF46EB5"/>
    <w:rsid w:val="72584046"/>
    <w:rsid w:val="72947ABA"/>
    <w:rsid w:val="74AE1D28"/>
    <w:rsid w:val="75555A8B"/>
    <w:rsid w:val="761D59F1"/>
    <w:rsid w:val="7687773C"/>
    <w:rsid w:val="77CD4BBB"/>
    <w:rsid w:val="77CF5BBC"/>
    <w:rsid w:val="787614EB"/>
    <w:rsid w:val="78D3520D"/>
    <w:rsid w:val="79291C4C"/>
    <w:rsid w:val="79F426E3"/>
    <w:rsid w:val="7B503B39"/>
    <w:rsid w:val="7CD73DE6"/>
    <w:rsid w:val="7D831878"/>
    <w:rsid w:val="7DEB25B0"/>
    <w:rsid w:val="7EB92970"/>
    <w:rsid w:val="7F4A4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after="120" w:line="480" w:lineRule="auto"/>
    </w:pPr>
  </w:style>
  <w:style w:type="paragraph" w:styleId="3">
    <w:name w:val="Body Text"/>
    <w:basedOn w:val="1"/>
    <w:semiHidden/>
    <w:unhideWhenUsed/>
    <w:qFormat/>
    <w:uiPriority w:val="99"/>
    <w:pPr>
      <w:spacing w:after="120"/>
    </w:pPr>
  </w:style>
  <w:style w:type="paragraph" w:styleId="5">
    <w:name w:val="annotation text"/>
    <w:basedOn w:val="1"/>
    <w:link w:val="16"/>
    <w:qFormat/>
    <w:uiPriority w:val="0"/>
    <w:pPr>
      <w:jc w:val="left"/>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5"/>
    <w:next w:val="5"/>
    <w:link w:val="17"/>
    <w:qFormat/>
    <w:uiPriority w:val="0"/>
    <w:rPr>
      <w:b/>
      <w:bCs/>
    </w:rPr>
  </w:style>
  <w:style w:type="character" w:styleId="11">
    <w:name w:val="annotation reference"/>
    <w:basedOn w:val="10"/>
    <w:qFormat/>
    <w:uiPriority w:val="0"/>
    <w:rPr>
      <w:sz w:val="21"/>
      <w:szCs w:val="21"/>
    </w:rPr>
  </w:style>
  <w:style w:type="paragraph" w:customStyle="1" w:styleId="12">
    <w:name w:val="标题二2（楷体标题）"/>
    <w:basedOn w:val="1"/>
    <w:next w:val="4"/>
    <w:qFormat/>
    <w:uiPriority w:val="0"/>
    <w:pPr>
      <w:spacing w:line="560" w:lineRule="exact"/>
      <w:jc w:val="center"/>
    </w:pPr>
    <w:rPr>
      <w:rFonts w:ascii="宋体" w:hAnsi="宋体" w:cs="宋体"/>
      <w:sz w:val="28"/>
      <w:szCs w:val="28"/>
    </w:rPr>
  </w:style>
  <w:style w:type="paragraph" w:customStyle="1" w:styleId="13">
    <w:name w:val="首行缩进"/>
    <w:basedOn w:val="1"/>
    <w:qFormat/>
    <w:uiPriority w:val="0"/>
  </w:style>
  <w:style w:type="table" w:customStyle="1" w:styleId="14">
    <w:name w:val="网格型1"/>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Table Paragraph"/>
    <w:basedOn w:val="1"/>
    <w:qFormat/>
    <w:uiPriority w:val="1"/>
    <w:pPr>
      <w:spacing w:before="95"/>
    </w:pPr>
  </w:style>
  <w:style w:type="character" w:customStyle="1" w:styleId="16">
    <w:name w:val="批注文字 字符"/>
    <w:basedOn w:val="10"/>
    <w:link w:val="5"/>
    <w:qFormat/>
    <w:uiPriority w:val="0"/>
    <w:rPr>
      <w:rFonts w:asciiTheme="minorHAnsi" w:hAnsiTheme="minorHAnsi" w:eastAsiaTheme="minorEastAsia" w:cstheme="minorBidi"/>
      <w:kern w:val="2"/>
      <w:sz w:val="21"/>
      <w:szCs w:val="22"/>
    </w:rPr>
  </w:style>
  <w:style w:type="character" w:customStyle="1" w:styleId="17">
    <w:name w:val="批注主题 字符"/>
    <w:basedOn w:val="16"/>
    <w:link w:val="8"/>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5589</Words>
  <Characters>5822</Characters>
  <Lines>40</Lines>
  <Paragraphs>11</Paragraphs>
  <TotalTime>16</TotalTime>
  <ScaleCrop>false</ScaleCrop>
  <LinksUpToDate>false</LinksUpToDate>
  <CharactersWithSpaces>5919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2022-11-24T10:44:00Z</dcterms:created>
  <dc:creator>DELL</dc:creator>
  <cp:lastModifiedBy>故作坚强</cp:lastModifiedBy>
  <dcterms:modified xsi:type="dcterms:W3CDTF">2023-12-02T17:35:47Z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E7EFFB4779344FCBAE6B26F4F50EBD58</vt:lpwstr>
  </property>
</Properties>
</file>