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outlineLvl w:val="0"/>
        <w:rPr>
          <w:rFonts w:ascii="Times New Roman" w:hAnsi="Times New Roman" w:eastAsia="黑体" w:cs="Times New Roman"/>
          <w:sz w:val="28"/>
          <w:szCs w:val="28"/>
        </w:rPr>
      </w:pPr>
      <w:r>
        <w:rPr>
          <w:rFonts w:ascii="Times New Roman" w:hAnsi="Times New Roman" w:eastAsia="黑体" w:cs="Times New Roman"/>
          <w:sz w:val="28"/>
          <w:szCs w:val="28"/>
        </w:rPr>
        <w:t>附件5</w:t>
      </w:r>
    </w:p>
    <w:p>
      <w:pPr>
        <w:jc w:val="center"/>
        <w:rPr>
          <w:rFonts w:ascii="Times New Roman" w:hAnsi="Times New Roman" w:eastAsia="方正小标宋简体" w:cs="Times New Roman"/>
          <w:snapToGrid w:val="0"/>
          <w:spacing w:val="-10"/>
          <w:sz w:val="44"/>
          <w:szCs w:val="44"/>
        </w:rPr>
      </w:pPr>
    </w:p>
    <w:p>
      <w:pPr>
        <w:jc w:val="center"/>
        <w:rPr>
          <w:rFonts w:ascii="Times New Roman" w:hAnsi="Times New Roman" w:eastAsia="方正小标宋简体" w:cs="Times New Roman"/>
          <w:snapToGrid w:val="0"/>
          <w:spacing w:val="-10"/>
          <w:sz w:val="44"/>
          <w:szCs w:val="44"/>
        </w:rPr>
      </w:pPr>
    </w:p>
    <w:p>
      <w:pPr>
        <w:snapToGrid w:val="0"/>
        <w:jc w:val="center"/>
        <w:textAlignment w:val="baseline"/>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高职本科拟招生专业信息表</w:t>
      </w:r>
    </w:p>
    <w:p>
      <w:pPr>
        <w:jc w:val="center"/>
        <w:outlineLvl w:val="0"/>
        <w:rPr>
          <w:rFonts w:ascii="Times New Roman" w:hAnsi="Times New Roman" w:eastAsia="楷体_GB2312" w:cs="Times New Roman"/>
          <w:b/>
          <w:bCs/>
          <w:snapToGrid w:val="0"/>
          <w:spacing w:val="-10"/>
          <w:sz w:val="44"/>
          <w:szCs w:val="44"/>
        </w:rPr>
      </w:pPr>
      <w:r>
        <w:rPr>
          <w:rFonts w:ascii="Times New Roman" w:hAnsi="Times New Roman" w:eastAsia="方正小标宋简体" w:cs="Times New Roman"/>
          <w:bCs/>
          <w:sz w:val="36"/>
          <w:szCs w:val="36"/>
        </w:rPr>
        <w:t>（新增设）</w:t>
      </w:r>
    </w:p>
    <w:p>
      <w:pPr>
        <w:ind w:left="930" w:leftChars="443"/>
        <w:rPr>
          <w:rFonts w:ascii="Times New Roman" w:hAnsi="Times New Roman" w:eastAsia="楷体_GB2312" w:cs="Times New Roman"/>
          <w:sz w:val="32"/>
          <w:szCs w:val="32"/>
          <w:lang w:bidi="ar"/>
        </w:rPr>
      </w:pPr>
    </w:p>
    <w:tbl>
      <w:tblPr>
        <w:tblStyle w:val="14"/>
        <w:tblW w:w="8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0"/>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学校名称(盖章)：</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广西城市职业大学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学校主管部门：</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广西壮族自治区教育厅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专业名称：</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装备智能化技术（专升本）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专业代码：</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260201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修业年限：</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拟招生数：</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70</w:t>
            </w:r>
            <w:r>
              <w:rPr>
                <w:rFonts w:hint="eastAsia" w:ascii="Times New Roman" w:hAnsi="Times New Roman" w:eastAsia="仿宋_GB2312" w:cs="Times New Roman"/>
                <w:sz w:val="32"/>
                <w:szCs w:val="32"/>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pacing w:val="-20"/>
                <w:sz w:val="32"/>
                <w:szCs w:val="32"/>
                <w:lang w:bidi="ar"/>
              </w:rPr>
              <w:t>专业负责人</w:t>
            </w:r>
            <w:r>
              <w:rPr>
                <w:rFonts w:ascii="Times New Roman" w:hAnsi="Times New Roman" w:eastAsia="仿宋_GB2312" w:cs="Times New Roman"/>
                <w:sz w:val="32"/>
                <w:szCs w:val="32"/>
                <w:lang w:bidi="ar"/>
              </w:rPr>
              <w:t>：</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余金永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联系电话：</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18077170168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申请时间：</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法定代表人签字：</w:t>
            </w:r>
          </w:p>
        </w:tc>
        <w:tc>
          <w:tcPr>
            <w:tcW w:w="3891" w:type="dxa"/>
          </w:tcPr>
          <w:p>
            <w:pPr>
              <w:widowControl/>
              <w:overflowPunct w:val="0"/>
              <w:adjustRightInd w:val="0"/>
              <w:jc w:val="right"/>
              <w:rPr>
                <w:rFonts w:ascii="Times New Roman" w:hAnsi="Times New Roman" w:eastAsia="仿宋_GB2312" w:cs="Times New Roman"/>
                <w:sz w:val="32"/>
                <w:szCs w:val="32"/>
              </w:rPr>
            </w:pPr>
          </w:p>
        </w:tc>
      </w:tr>
    </w:tbl>
    <w:p>
      <w:pPr>
        <w:ind w:left="930" w:leftChars="443"/>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pStyle w:val="2"/>
        <w:rPr>
          <w:rFonts w:ascii="Times New Roman" w:hAnsi="Times New Roman" w:eastAsia="楷体_GB2312" w:cs="Times New Roman"/>
          <w:sz w:val="32"/>
          <w:szCs w:val="32"/>
          <w:lang w:bidi="ar"/>
        </w:rPr>
      </w:pPr>
    </w:p>
    <w:p>
      <w:pPr>
        <w:pStyle w:val="2"/>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6"/>
          <w:szCs w:val="24"/>
        </w:rPr>
      </w:pPr>
      <w:r>
        <w:rPr>
          <w:rFonts w:ascii="Times New Roman" w:hAnsi="Times New Roman" w:eastAsia="仿宋_GB2312" w:cs="Times New Roman"/>
          <w:sz w:val="36"/>
        </w:rPr>
        <w:t>中华人民共和国教育部制</w:t>
      </w: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2"/>
          <w:szCs w:val="32"/>
          <w:lang w:bidi="ar"/>
        </w:rPr>
        <w:sectPr>
          <w:footerReference r:id="rId4" w:type="first"/>
          <w:footerReference r:id="rId3" w:type="default"/>
          <w:pgSz w:w="11906" w:h="16838"/>
          <w:pgMar w:top="1440" w:right="1803" w:bottom="1440" w:left="1803" w:header="851" w:footer="850" w:gutter="0"/>
          <w:cols w:space="720" w:num="1"/>
          <w:titlePg/>
          <w:docGrid w:type="lines" w:linePitch="579" w:charSpace="21679"/>
        </w:sectPr>
      </w:pPr>
    </w:p>
    <w:p>
      <w:pPr>
        <w:jc w:val="center"/>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2"/>
          <w:szCs w:val="32"/>
          <w:lang w:bidi="ar"/>
        </w:rPr>
      </w:pPr>
    </w:p>
    <w:p>
      <w:pPr>
        <w:jc w:val="center"/>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填表说明</w:t>
      </w:r>
    </w:p>
    <w:p>
      <w:pPr>
        <w:jc w:val="center"/>
        <w:rPr>
          <w:rFonts w:ascii="Times New Roman" w:hAnsi="Times New Roman" w:eastAsia="仿宋_GB2312" w:cs="Times New Roman"/>
          <w:sz w:val="32"/>
          <w:szCs w:val="32"/>
          <w:lang w:bidi="ar"/>
        </w:rPr>
      </w:pP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1.本表用于各学校填报新增拟招生的高职本科教育专业信息。</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2.根据《本科层次职业教育专业设置管理办法（试行）》（以下简称《办法》）的要求如实填报。</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3.表中所填内容要言简意赅，如有需要可另附报告，一个专业对应的报告单独一册，双面打印，单独装订。</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4.学校承诺本表所填师资、办学条件等基本情况真实、准确，如有虚假，一经发现，严肃处理。</w:t>
      </w: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snapToGrid w:val="0"/>
        <w:jc w:val="center"/>
        <w:rPr>
          <w:rFonts w:ascii="Times New Roman" w:hAnsi="Times New Roman" w:eastAsia="方正仿宋简体" w:cs="Times New Roman"/>
          <w:sz w:val="24"/>
          <w:szCs w:val="24"/>
        </w:rPr>
        <w:sectPr>
          <w:footerReference r:id="rId6" w:type="first"/>
          <w:footerReference r:id="rId5" w:type="default"/>
          <w:pgSz w:w="11906" w:h="16838"/>
          <w:pgMar w:top="1440" w:right="1803" w:bottom="1440" w:left="1803" w:header="851" w:footer="850" w:gutter="0"/>
          <w:pgNumType w:start="1"/>
          <w:cols w:space="720" w:num="1"/>
          <w:titlePg/>
          <w:docGrid w:type="lines" w:linePitch="579" w:charSpace="21679"/>
        </w:sectPr>
      </w:pPr>
    </w:p>
    <w:tbl>
      <w:tblPr>
        <w:tblStyle w:val="11"/>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01"/>
        <w:gridCol w:w="1606"/>
        <w:gridCol w:w="2646"/>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8732" w:type="dxa"/>
            <w:gridSpan w:val="5"/>
            <w:vAlign w:val="center"/>
          </w:tcPr>
          <w:p>
            <w:pPr>
              <w:snapToGrid w:val="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拟招生专业基本情况：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拟招生专业名称</w:t>
            </w:r>
          </w:p>
        </w:tc>
        <w:tc>
          <w:tcPr>
            <w:tcW w:w="160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装备智能化技术（专升本）</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专业代码</w:t>
            </w:r>
          </w:p>
        </w:tc>
        <w:tc>
          <w:tcPr>
            <w:tcW w:w="1791"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260201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办学性质</w:t>
            </w:r>
          </w:p>
        </w:tc>
        <w:tc>
          <w:tcPr>
            <w:tcW w:w="160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民办</w:t>
            </w:r>
          </w:p>
        </w:tc>
        <w:tc>
          <w:tcPr>
            <w:tcW w:w="264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学位授予学科门类</w:t>
            </w:r>
          </w:p>
        </w:tc>
        <w:tc>
          <w:tcPr>
            <w:tcW w:w="1791"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rPr>
              <w:t>4</w:t>
            </w:r>
            <w:r>
              <w:rPr>
                <w:rFonts w:ascii="Times New Roman" w:hAnsi="Times New Roman" w:eastAsia="仿宋_GB2312" w:cs="Times New Roman"/>
                <w:sz w:val="24"/>
                <w:szCs w:val="24"/>
              </w:rPr>
              <w:t>年拟招生数（人）</w:t>
            </w:r>
          </w:p>
        </w:tc>
        <w:tc>
          <w:tcPr>
            <w:tcW w:w="160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70</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学制</w:t>
            </w:r>
          </w:p>
        </w:tc>
        <w:tc>
          <w:tcPr>
            <w:tcW w:w="1791"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总学时</w:t>
            </w:r>
          </w:p>
        </w:tc>
        <w:tc>
          <w:tcPr>
            <w:tcW w:w="160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1536</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实践教学学时</w:t>
            </w:r>
          </w:p>
        </w:tc>
        <w:tc>
          <w:tcPr>
            <w:tcW w:w="1791"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实践教学学时占总学时的比例</w:t>
            </w:r>
          </w:p>
        </w:tc>
        <w:tc>
          <w:tcPr>
            <w:tcW w:w="160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50.26%</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实验实训项目（任务）能够开出率（%）</w:t>
            </w:r>
          </w:p>
        </w:tc>
        <w:tc>
          <w:tcPr>
            <w:tcW w:w="1791"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“双师型”教师</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占比（%）</w:t>
            </w:r>
          </w:p>
        </w:tc>
        <w:tc>
          <w:tcPr>
            <w:tcW w:w="160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76.92</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兼职教师数（人）</w:t>
            </w:r>
          </w:p>
        </w:tc>
        <w:tc>
          <w:tcPr>
            <w:tcW w:w="1791"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兼职教师计划承担的专业课授课学时占专业课总学时比例（%）</w:t>
            </w:r>
          </w:p>
        </w:tc>
        <w:tc>
          <w:tcPr>
            <w:tcW w:w="160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23.68</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是否有省级及以上教育行政部门等认定的高水平教师教学（科研）创新团队</w:t>
            </w:r>
          </w:p>
        </w:tc>
        <w:tc>
          <w:tcPr>
            <w:tcW w:w="1791"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省级及以上教学名师数量（人）</w:t>
            </w:r>
          </w:p>
        </w:tc>
        <w:tc>
          <w:tcPr>
            <w:tcW w:w="160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省级及以上教学领域有关奖励数量（项）</w:t>
            </w:r>
          </w:p>
        </w:tc>
        <w:tc>
          <w:tcPr>
            <w:tcW w:w="1791"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生均教学科研仪器设备值（万元）</w:t>
            </w:r>
          </w:p>
        </w:tc>
        <w:tc>
          <w:tcPr>
            <w:tcW w:w="160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3.27</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是否有省级及以上技术研发推广平台</w:t>
            </w:r>
          </w:p>
        </w:tc>
        <w:tc>
          <w:tcPr>
            <w:tcW w:w="1791"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jc w:val="center"/>
        </w:trPr>
        <w:tc>
          <w:tcPr>
            <w:tcW w:w="8732" w:type="dxa"/>
            <w:gridSpan w:val="5"/>
            <w:tcBorders>
              <w:bottom w:val="single" w:color="000000" w:sz="4" w:space="0"/>
            </w:tcBorders>
            <w:vAlign w:val="center"/>
          </w:tcPr>
          <w:p>
            <w:pPr>
              <w:snapToGrid w:val="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所依托主要专业基本情况：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专业名称</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工业机器人技术</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专业代码</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cs="仿宋" w:asciiTheme="minorEastAsia" w:hAnsiTheme="minorEastAsia"/>
                <w:sz w:val="24"/>
                <w:szCs w:val="24"/>
              </w:rPr>
              <w:t>460305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专业开设时间</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2016年</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是否为省级以上</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重点（特色）专业</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本专业全日制</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在校生数（人）</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225</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本专业专任教师</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数（人）</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专任教师与全日制</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在校生人数之比</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15</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微软雅黑" w:hAnsi="微软雅黑" w:eastAsia="微软雅黑" w:cs="微软雅黑"/>
                <w:sz w:val="24"/>
                <w:szCs w:val="24"/>
              </w:rPr>
              <w:t>高</w:t>
            </w:r>
            <w:r>
              <w:rPr>
                <w:rFonts w:ascii="Times New Roman" w:hAnsi="Times New Roman" w:eastAsia="仿宋_GB2312" w:cs="Times New Roman"/>
                <w:sz w:val="24"/>
                <w:szCs w:val="24"/>
              </w:rPr>
              <w:t>级职称专任教师</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具有研究生学位</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专任教师比例（%）</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53.85</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具有博士研究生学位专任教师比例（%）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年度面向行业企业和社会开展职业</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培训人次</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498</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年度招生计划</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完成率（%）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年度新生</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报到率（%）</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rPr>
              <w:t>3</w:t>
            </w:r>
            <w:r>
              <w:rPr>
                <w:rFonts w:ascii="Times New Roman" w:hAnsi="Times New Roman" w:eastAsia="仿宋_GB2312" w:cs="Times New Roman"/>
                <w:sz w:val="24"/>
                <w:szCs w:val="24"/>
              </w:rPr>
              <w:t>年度应届生</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就业率（%）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80.73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7" w:hRule="atLeast"/>
          <w:jc w:val="center"/>
        </w:trPr>
        <w:tc>
          <w:tcPr>
            <w:tcW w:w="888" w:type="dxa"/>
            <w:vAlign w:val="center"/>
          </w:tcPr>
          <w:p>
            <w:pPr>
              <w:snapToGrid w:val="0"/>
              <w:jc w:val="center"/>
              <w:rPr>
                <w:rFonts w:ascii="Times New Roman" w:hAnsi="Times New Roman" w:eastAsia="方正仿宋简体" w:cs="Times New Roman"/>
                <w:sz w:val="24"/>
                <w:szCs w:val="24"/>
              </w:rPr>
            </w:pPr>
            <w:r>
              <w:rPr>
                <w:rFonts w:ascii="Times New Roman" w:hAnsi="Times New Roman" w:eastAsia="仿宋_GB2312" w:cs="Times New Roman"/>
                <w:position w:val="6"/>
                <w:sz w:val="24"/>
                <w:szCs w:val="24"/>
              </w:rPr>
              <w:t>拟招生专业设置可行性</w:t>
            </w:r>
          </w:p>
        </w:tc>
        <w:tc>
          <w:tcPr>
            <w:tcW w:w="7844" w:type="dxa"/>
            <w:gridSpan w:val="4"/>
          </w:tcPr>
          <w:p>
            <w:pPr>
              <w:keepNext/>
              <w:keepLines/>
              <w:pageBreakBefore/>
              <w:widowControl/>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一、行业/企业调研分析</w:t>
            </w:r>
          </w:p>
          <w:p>
            <w:pPr>
              <w:keepNext/>
              <w:keepLines/>
              <w:pageBreakBefore/>
              <w:widowControl/>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据中国行业研究网发布的《智能制造白皮书》显示，国内装备智能化人才供需指数逐年走高。2021年，国内装备智能领域人才供需较2019年提升13个百分点，说明我国装备智能人才不但严重紧缺，且这种趋势正由于智能化企业增多而变得愈发严重。</w:t>
            </w:r>
          </w:p>
          <w:p>
            <w:pPr>
              <w:keepNext/>
              <w:keepLines/>
              <w:pageBreakBefore/>
              <w:widowControl/>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二、人才供给情况分析</w:t>
            </w:r>
          </w:p>
          <w:p>
            <w:pPr>
              <w:keepNext/>
              <w:keepLines/>
              <w:pageBreakBefore/>
              <w:widowControl/>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在重点发展“14＋10”的产业集群中，医疗器械、新材料、机械制造等产业都需要大量的智能制造专业人才。目前全国职业技术大学中开设有装备智能化技术本科专业的职业院校仅一所，招生规模80人，专业布点严重不足。随着国家有计划地对信息化和智能化改造，高端数控机床、工业机器人等智能制造装备将会普及应用，需要大量操作、调试、维护、维修、设计和升级改造方面的专业人才，给装备智能化人才带来广阔的就业前景。</w:t>
            </w:r>
          </w:p>
          <w:p>
            <w:pPr>
              <w:keepNext/>
              <w:keepLines/>
              <w:pageBreakBefore/>
              <w:widowControl/>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三、办学基础和专业特色</w:t>
            </w:r>
          </w:p>
          <w:p>
            <w:pPr>
              <w:keepNext/>
              <w:keepLines/>
              <w:pageBreakBefore/>
              <w:widowControl/>
              <w:snapToGrid w:val="0"/>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（一）办学基础</w:t>
            </w:r>
          </w:p>
          <w:p>
            <w:pPr>
              <w:keepNext/>
              <w:keepLines/>
              <w:pageBreakBefore/>
              <w:widowControl/>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本专业所依托工业机器人技术专业，目前在校生225人。目前已建成工业机器人应用人才培养中心、CNC加工实训中心、智能加工实训中心等实验实训场所，总占地面积1500平方米。</w:t>
            </w:r>
            <w:r>
              <w:rPr>
                <w:rFonts w:hint="eastAsia" w:ascii="仿宋" w:hAnsi="仿宋" w:eastAsia="仿宋" w:cs="仿宋_GB2312"/>
                <w:snapToGrid w:val="0"/>
                <w:sz w:val="28"/>
                <w:szCs w:val="28"/>
              </w:rPr>
              <w:t>新增设专业教师团队完全满足专业设置条件，</w:t>
            </w:r>
            <w:r>
              <w:rPr>
                <w:rFonts w:hint="eastAsia" w:ascii="仿宋" w:hAnsi="仿宋" w:eastAsia="仿宋" w:cs="仿宋"/>
                <w:sz w:val="28"/>
                <w:szCs w:val="28"/>
              </w:rPr>
              <w:t>教学仪器设备总值达735.07万元，生均仪器设备值是3.27万元，能满足教学需要。</w:t>
            </w:r>
          </w:p>
          <w:p>
            <w:pPr>
              <w:keepNext/>
              <w:keepLines/>
              <w:pageBreakBefore/>
              <w:widowControl/>
              <w:snapToGrid w:val="0"/>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（二）专业特色</w:t>
            </w:r>
          </w:p>
          <w:p>
            <w:pPr>
              <w:pStyle w:val="2"/>
              <w:ind w:firstLine="560" w:firstLineChars="200"/>
              <w:rPr>
                <w:rFonts w:ascii="仿宋" w:hAnsi="仿宋" w:eastAsia="仿宋" w:cs="仿宋"/>
                <w:sz w:val="28"/>
                <w:szCs w:val="28"/>
              </w:rPr>
            </w:pPr>
            <w:r>
              <w:rPr>
                <w:rFonts w:hint="eastAsia" w:ascii="仿宋" w:hAnsi="仿宋" w:eastAsia="仿宋" w:cs="仿宋"/>
                <w:sz w:val="28"/>
                <w:szCs w:val="28"/>
              </w:rPr>
              <w:t>所依托专业加强与企业、教育科技咨询公司合作，构建“三元制”高层次人才培养模式，坚持“以学生为本，以学生为中心”“学以致用”的理念，构建以就业为导向、以职业能力为核心、以创新为特色，对接1+X证书的“岗课赛证”融通专业课程体系，发挥三元制自身优势，培养高层次技术技能人才。</w:t>
            </w:r>
          </w:p>
          <w:p>
            <w:pPr>
              <w:keepNext/>
              <w:keepLines/>
              <w:pageBreakBefore/>
              <w:widowControl/>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 </w:t>
            </w:r>
            <w:r>
              <w:rPr>
                <w:rFonts w:hint="eastAsia" w:ascii="黑体" w:hAnsi="黑体" w:eastAsia="黑体" w:cs="黑体"/>
                <w:sz w:val="28"/>
                <w:szCs w:val="28"/>
              </w:rPr>
              <w:t>四、保障措施及相关制度</w:t>
            </w:r>
          </w:p>
          <w:p>
            <w:pPr>
              <w:keepNext/>
              <w:keepLines/>
              <w:pageBreakBefore/>
              <w:widowControl/>
              <w:snapToGrid w:val="0"/>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（一）组织保障</w:t>
            </w:r>
          </w:p>
          <w:p>
            <w:pPr>
              <w:keepNext/>
              <w:keepLines/>
              <w:pageBreakBefore/>
              <w:widowControl/>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建立健全专业建设的组织领导机构，制定智能工程学院院长为责任人和设置双带头人模式，强化行业指导委员会和专业建设教学指导委员会对专业建设和教学改革的指导作用，明确分工，落实责任。</w:t>
            </w:r>
          </w:p>
          <w:p>
            <w:pPr>
              <w:keepNext/>
              <w:keepLines/>
              <w:pageBreakBefore/>
              <w:widowControl/>
              <w:snapToGrid w:val="0"/>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（二）制度保障</w:t>
            </w:r>
          </w:p>
          <w:p>
            <w:pPr>
              <w:keepNext/>
              <w:keepLines/>
              <w:pageBreakBefore/>
              <w:widowControl/>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学校建立了一套完整、科学的教学管理规章制度和监控体系，如：《广西城市职业大学本科专业建设管理办法(试行)》等，为专业建设工作的有效开展和顺利完成以及建设水平、质量提供制度保障。</w:t>
            </w:r>
          </w:p>
          <w:p>
            <w:pPr>
              <w:keepNext/>
              <w:keepLines/>
              <w:pageBreakBefore/>
              <w:widowControl/>
              <w:snapToGrid w:val="0"/>
              <w:spacing w:line="560" w:lineRule="exact"/>
              <w:ind w:firstLine="560" w:firstLineChars="200"/>
              <w:rPr>
                <w:rFonts w:ascii="楷体" w:hAnsi="楷体" w:eastAsia="楷体" w:cs="楷体"/>
                <w:sz w:val="28"/>
                <w:szCs w:val="28"/>
              </w:rPr>
            </w:pPr>
            <w:r>
              <w:rPr>
                <w:rFonts w:hint="eastAsia" w:ascii="楷体" w:hAnsi="楷体" w:eastAsia="楷体" w:cs="楷体"/>
                <w:sz w:val="28"/>
                <w:szCs w:val="28"/>
              </w:rPr>
              <w:t>（三）经费保障</w:t>
            </w:r>
          </w:p>
          <w:p>
            <w:pPr>
              <w:pStyle w:val="2"/>
              <w:ind w:firstLine="560" w:firstLineChars="200"/>
              <w:rPr>
                <w:rFonts w:ascii="仿宋" w:hAnsi="仿宋" w:eastAsia="仿宋" w:cs="仿宋"/>
                <w:sz w:val="28"/>
                <w:szCs w:val="28"/>
              </w:rPr>
            </w:pPr>
            <w:r>
              <w:rPr>
                <w:rFonts w:hint="eastAsia" w:ascii="仿宋" w:hAnsi="仿宋" w:eastAsia="仿宋" w:cs="仿宋"/>
                <w:sz w:val="28"/>
                <w:szCs w:val="28"/>
              </w:rPr>
              <w:t>加大职业本科专业建设的经费投入。学校每年投入30万，预计五年累计投入150万用于保障人才培养、高水平专业群建设、师资队伍等方面的建设。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教师队伍</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情况要点</w:t>
            </w:r>
          </w:p>
        </w:tc>
        <w:tc>
          <w:tcPr>
            <w:tcW w:w="7844" w:type="dxa"/>
            <w:gridSpan w:val="4"/>
          </w:tcPr>
          <w:p>
            <w:pPr>
              <w:snapToGrid w:val="0"/>
              <w:spacing w:line="560" w:lineRule="exact"/>
              <w:ind w:firstLine="560" w:firstLineChars="200"/>
              <w:rPr>
                <w:rFonts w:ascii="仿宋" w:hAnsi="仿宋" w:eastAsia="仿宋" w:cs="仿宋"/>
                <w:sz w:val="28"/>
                <w:szCs w:val="28"/>
              </w:rPr>
            </w:pPr>
            <w:bookmarkStart w:id="4" w:name="_GoBack"/>
            <w:r>
              <w:rPr>
                <w:rFonts w:hint="eastAsia" w:ascii="仿宋" w:hAnsi="仿宋" w:eastAsia="仿宋" w:cs="仿宋"/>
                <w:sz w:val="28"/>
                <w:szCs w:val="28"/>
              </w:rPr>
              <w:t>一、所依托的工业机器人技术专业专任教师与学生人数之比为1:</w:t>
            </w:r>
            <w:r>
              <w:rPr>
                <w:rFonts w:ascii="仿宋" w:hAnsi="仿宋" w:eastAsia="仿宋" w:cs="仿宋"/>
                <w:sz w:val="28"/>
                <w:szCs w:val="28"/>
              </w:rPr>
              <w:t>15</w:t>
            </w:r>
            <w:r>
              <w:rPr>
                <w:rFonts w:hint="eastAsia" w:ascii="仿宋" w:hAnsi="仿宋" w:eastAsia="仿宋" w:cs="仿宋"/>
                <w:sz w:val="28"/>
                <w:szCs w:val="28"/>
              </w:rPr>
              <w:t>，高级职称专任教师比例为</w:t>
            </w:r>
            <w:r>
              <w:rPr>
                <w:rFonts w:ascii="仿宋" w:hAnsi="仿宋" w:eastAsia="仿宋" w:cs="仿宋"/>
                <w:sz w:val="28"/>
                <w:szCs w:val="28"/>
              </w:rPr>
              <w:t>53.85</w:t>
            </w:r>
            <w:r>
              <w:rPr>
                <w:rFonts w:hint="eastAsia" w:ascii="仿宋" w:hAnsi="仿宋" w:eastAsia="仿宋" w:cs="仿宋"/>
                <w:sz w:val="28"/>
                <w:szCs w:val="28"/>
              </w:rPr>
              <w:t>%，具有研究生学位专任教师比例为</w:t>
            </w:r>
            <w:r>
              <w:rPr>
                <w:rFonts w:ascii="仿宋" w:hAnsi="仿宋" w:eastAsia="仿宋" w:cs="仿宋"/>
                <w:sz w:val="28"/>
                <w:szCs w:val="28"/>
              </w:rPr>
              <w:t>53.85</w:t>
            </w:r>
            <w:r>
              <w:rPr>
                <w:rFonts w:hint="eastAsia" w:ascii="仿宋" w:hAnsi="仿宋" w:eastAsia="仿宋" w:cs="仿宋"/>
                <w:sz w:val="28"/>
                <w:szCs w:val="28"/>
              </w:rPr>
              <w:t>%，具有博士研究生学位专任教师比例为</w:t>
            </w:r>
            <w:r>
              <w:rPr>
                <w:rFonts w:ascii="仿宋" w:hAnsi="仿宋" w:eastAsia="仿宋" w:cs="仿宋"/>
                <w:sz w:val="28"/>
                <w:szCs w:val="28"/>
              </w:rPr>
              <w:t>15.38</w:t>
            </w:r>
            <w:r>
              <w:rPr>
                <w:rFonts w:hint="eastAsia" w:ascii="仿宋" w:hAnsi="仿宋" w:eastAsia="仿宋" w:cs="仿宋"/>
                <w:sz w:val="28"/>
                <w:szCs w:val="28"/>
              </w:rPr>
              <w:t>%。师资结构合理，符合设置本科层次专业所必需的教师队伍。</w:t>
            </w:r>
          </w:p>
          <w:p>
            <w:pPr>
              <w:numPr>
                <w:ilvl w:val="0"/>
                <w:numId w:val="1"/>
              </w:numPr>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拟设置的</w:t>
            </w:r>
            <w:bookmarkEnd w:id="4"/>
            <w:r>
              <w:rPr>
                <w:rFonts w:hint="eastAsia" w:ascii="仿宋" w:hAnsi="仿宋" w:eastAsia="仿宋" w:cs="仿宋"/>
                <w:sz w:val="28"/>
                <w:szCs w:val="28"/>
              </w:rPr>
              <w:t>本专业专任教师中，“双师型”教师占比76.92%，校企合作企业一线的兼职教师承担专业基础、核心课程教学任务，授课课时达专业课总课时的23.68%。</w:t>
            </w:r>
          </w:p>
          <w:p>
            <w:pPr>
              <w:pStyle w:val="2"/>
              <w:spacing w:line="560" w:lineRule="exact"/>
              <w:ind w:firstLine="560" w:firstLineChars="200"/>
              <w:rPr>
                <w:rFonts w:ascii="仿宋" w:hAnsi="仿宋" w:eastAsia="仿宋" w:cs="仿宋"/>
                <w:sz w:val="28"/>
                <w:szCs w:val="28"/>
                <w:highlight w:val="yellow"/>
                <w:lang w:val="zh-CN"/>
              </w:rPr>
            </w:pPr>
            <w:r>
              <w:rPr>
                <w:rFonts w:hint="eastAsia" w:ascii="仿宋" w:hAnsi="仿宋" w:eastAsia="仿宋" w:cs="仿宋"/>
                <w:sz w:val="28"/>
                <w:szCs w:val="28"/>
              </w:rPr>
              <w:t xml:space="preserve">三、本专业骨干教师均来自于装备智能化、工业机器人等多个相关专业，覆盖了专业课程教学主要领域；专业教师获省级及以上教学领域有关奖励30项。近年来，教师团队承担区级、校级科研与教改课题共11项，申报实用新型专利19项。指导学生参加电子设计大赛、广西人工智能大赛等技能竞赛，荣获国家级一等奖1项、二等奖1项，区级一等奖4项、二等奖5项，三等奖19项。公开发表论文11余篇，软件著作1项，公开出版教材《工业机器人操作实训指导书》共1部。  </w:t>
            </w:r>
            <w:r>
              <w:rPr>
                <w:rFonts w:hint="eastAsia" w:ascii="仿宋" w:hAnsi="仿宋" w:eastAsia="仿宋" w:cs="仿宋_GB2312"/>
                <w:sz w:val="28"/>
                <w:szCs w:val="28"/>
              </w:rPr>
              <w:t xml:space="preserve"> </w:t>
            </w:r>
          </w:p>
          <w:p>
            <w:pPr>
              <w:pStyle w:val="2"/>
              <w:spacing w:line="560" w:lineRule="exact"/>
              <w:ind w:firstLine="560" w:firstLineChars="200"/>
              <w:rPr>
                <w:rFonts w:hint="eastAsia" w:ascii="仿宋" w:hAnsi="仿宋" w:eastAsia="仿宋" w:cs="仿宋"/>
                <w:color w:val="FF0000"/>
                <w:sz w:val="28"/>
                <w:szCs w:val="28"/>
                <w:lang w:eastAsia="zh-CN"/>
              </w:rPr>
            </w:pPr>
            <w:r>
              <w:rPr>
                <w:rFonts w:hint="eastAsia" w:ascii="仿宋" w:hAnsi="仿宋" w:eastAsia="仿宋" w:cs="仿宋"/>
                <w:sz w:val="28"/>
                <w:szCs w:val="28"/>
              </w:rPr>
              <w:t>四、本专业带头人余金永，副教授，主要研究方向为智能制造自动化技术。余金永近年来共主持市厅级以上科研、教改项目4项，主要参与完成市厅级以上课题5项。公开发表本专业论文9篇。作为主编出版工程专业技术类教材一部《机器人操控实训指导书》；获得实用新型专利5项，其中第一发明人4项。主持完成崇左市2019年社会科学研究课题““一带一路”背景下职业教育与重点产业对接的机制研究--以崇左广西城市职业大学智能工程学院为例”(项目编号：CZsk2019），发表研究论文2篇，并于2020年12月顺利结题</w:t>
            </w:r>
            <w:r>
              <w:rPr>
                <w:rFonts w:hint="eastAsia" w:ascii="仿宋" w:hAnsi="仿宋" w:eastAsia="仿宋" w:cs="仿宋"/>
                <w:sz w:val="28"/>
                <w:szCs w:val="28"/>
                <w:lang w:eastAsia="zh-CN"/>
              </w:rPr>
              <w:t>。</w:t>
            </w:r>
          </w:p>
          <w:p>
            <w:pPr>
              <w:snapToGrid w:val="0"/>
              <w:jc w:val="left"/>
              <w:rPr>
                <w:rFonts w:ascii="Times New Roman" w:hAnsi="Times New Roman" w:eastAsia="方正仿宋简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8"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专业人才</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培养方案要点</w:t>
            </w:r>
          </w:p>
        </w:tc>
        <w:tc>
          <w:tcPr>
            <w:tcW w:w="7844" w:type="dxa"/>
            <w:gridSpan w:val="4"/>
          </w:tcPr>
          <w:p>
            <w:pPr>
              <w:snapToGrid w:val="0"/>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一、专业定位</w:t>
            </w:r>
          </w:p>
          <w:p>
            <w:pPr>
              <w:keepNext/>
              <w:keepLines/>
              <w:pageBreakBefore/>
              <w:widowControl/>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本专业顺应中国智能制造装备行业发展，依托两广地区先进装备制造企业，实施校企共建专业，协同培养人才。把本专业建设成广西地区先进装备制造业技术技能人才培养基地。全面提升我校对两广地区智能制造、装备智能化改造的技术支撑和服务能力，为广西产业转型升级和现代制造业建设起到推动作用。使装备智能化技术专业成为区内领先，国内知名的示范特色专业。</w:t>
            </w:r>
          </w:p>
          <w:p>
            <w:pPr>
              <w:snapToGrid w:val="0"/>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二、职业面向</w:t>
            </w:r>
          </w:p>
          <w:p>
            <w:pPr>
              <w:keepNext/>
              <w:keepLines/>
              <w:pageBreakBefore/>
              <w:widowControl/>
              <w:snapToGrid w:val="0"/>
              <w:spacing w:line="500" w:lineRule="exact"/>
              <w:ind w:firstLine="560" w:firstLineChars="200"/>
              <w:jc w:val="left"/>
              <w:rPr>
                <w:rFonts w:ascii="仿宋" w:hAnsi="仿宋" w:eastAsia="仿宋" w:cs="仿宋"/>
                <w:snapToGrid w:val="0"/>
                <w:sz w:val="28"/>
                <w:szCs w:val="28"/>
              </w:rPr>
            </w:pPr>
            <w:r>
              <w:rPr>
                <w:rFonts w:hint="eastAsia" w:ascii="仿宋" w:hAnsi="仿宋" w:eastAsia="仿宋" w:cs="仿宋"/>
                <w:snapToGrid w:val="0"/>
                <w:sz w:val="28"/>
                <w:szCs w:val="28"/>
              </w:rPr>
              <w:t>面向设备工程技术人员、智能制造工程技术人员等职业，智能装备研发、装备智能化技术改造、智能装备技术服务、智能车间设备管理等岗位(群)。</w:t>
            </w:r>
          </w:p>
          <w:p>
            <w:pPr>
              <w:snapToGrid w:val="0"/>
              <w:spacing w:line="50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三、课程体系</w:t>
            </w:r>
          </w:p>
          <w:p>
            <w:pPr>
              <w:snapToGrid w:val="0"/>
              <w:spacing w:line="500" w:lineRule="exact"/>
              <w:ind w:firstLine="560" w:firstLineChars="200"/>
              <w:jc w:val="left"/>
              <w:rPr>
                <w:rFonts w:ascii="仿宋" w:hAnsi="仿宋" w:eastAsia="仿宋" w:cs="仿宋"/>
                <w:sz w:val="28"/>
                <w:szCs w:val="28"/>
              </w:rPr>
            </w:pPr>
            <w:r>
              <w:rPr>
                <w:rFonts w:hint="eastAsia" w:ascii="仿宋" w:hAnsi="仿宋" w:eastAsia="仿宋" w:cs="仿宋"/>
                <w:snapToGrid w:val="0"/>
                <w:sz w:val="28"/>
                <w:szCs w:val="28"/>
              </w:rPr>
              <w:t>拟开设的装备智能化技术专业构建“课岗对接、课证融通”的课程体</w:t>
            </w:r>
            <w:r>
              <w:rPr>
                <w:rFonts w:hint="eastAsia" w:ascii="仿宋" w:hAnsi="仿宋" w:eastAsia="仿宋" w:cs="仿宋"/>
                <w:sz w:val="28"/>
                <w:szCs w:val="28"/>
              </w:rPr>
              <w:t>系，设置职业能力基础、职业能力核心、专业能力展选修、职业技能等级认证、职业能力实践等7大课程模块，实践教学课时占总课时的比例为50.26%，实验实训项目开出率达到100%。工业机器人现场操作与编程、电气控制与PLC技术等课程的实践实习课时均超</w:t>
            </w:r>
            <w:r>
              <w:rPr>
                <w:rFonts w:hint="eastAsia" w:ascii="仿宋" w:hAnsi="仿宋" w:eastAsia="仿宋" w:cs="仿宋"/>
                <w:snapToGrid w:val="0"/>
                <w:sz w:val="28"/>
                <w:szCs w:val="28"/>
              </w:rPr>
              <w:t>过50%。课程内容融入岗位典型工作案例，将职业岗位知识、技能和职业素养融入教学活动；积极推行“1+X证书”制度，鼓励学生通过课程的学习和企业的实践，考取专业相关职业技能等级证书。</w:t>
            </w:r>
          </w:p>
          <w:p>
            <w:pPr>
              <w:snapToGrid w:val="0"/>
              <w:spacing w:line="500" w:lineRule="exact"/>
              <w:ind w:firstLine="560" w:firstLineChars="200"/>
              <w:rPr>
                <w:rFonts w:ascii="黑体" w:hAnsi="黑体" w:eastAsia="黑体" w:cs="黑体"/>
                <w:sz w:val="28"/>
                <w:szCs w:val="28"/>
              </w:rPr>
            </w:pPr>
            <w:r>
              <w:rPr>
                <w:rFonts w:hint="eastAsia" w:ascii="黑体" w:hAnsi="黑体" w:eastAsia="黑体" w:cs="黑体"/>
                <w:sz w:val="28"/>
                <w:szCs w:val="28"/>
              </w:rPr>
              <w:t>四、人才培养模式</w:t>
            </w:r>
          </w:p>
          <w:p>
            <w:pPr>
              <w:snapToGrid w:val="0"/>
              <w:spacing w:line="500" w:lineRule="exact"/>
              <w:ind w:firstLine="560" w:firstLineChars="200"/>
              <w:rPr>
                <w:rFonts w:ascii="仿宋" w:hAnsi="仿宋" w:eastAsia="仿宋" w:cs="仿宋"/>
                <w:snapToGrid w:val="0"/>
                <w:sz w:val="28"/>
                <w:szCs w:val="28"/>
              </w:rPr>
            </w:pPr>
            <w:bookmarkStart w:id="0" w:name="_Toc85800119"/>
            <w:bookmarkStart w:id="1" w:name="_Toc85788306"/>
            <w:bookmarkStart w:id="2" w:name="_Toc85664710"/>
            <w:bookmarkStart w:id="3" w:name="_Toc12292"/>
            <w:r>
              <w:rPr>
                <w:rFonts w:hint="eastAsia" w:ascii="仿宋" w:hAnsi="仿宋" w:eastAsia="仿宋" w:cs="仿宋"/>
                <w:snapToGrid w:val="0"/>
                <w:sz w:val="28"/>
                <w:szCs w:val="28"/>
              </w:rPr>
              <w:t>（一）构建学校、企业、教育科技公司三位一体的“三元制”高层次技术技能人才培养模式。坚持“以学生为中心”“学以致用”的理念，构建以就业为导向、以职业能力为核心、以创新为特色，对接1+X证书的“岗课赛证”融通专业课程体系，培养高层次技术技能人才。</w:t>
            </w:r>
            <w:bookmarkEnd w:id="0"/>
            <w:bookmarkEnd w:id="1"/>
            <w:bookmarkEnd w:id="2"/>
            <w:bookmarkEnd w:id="3"/>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napToGrid w:val="0"/>
                <w:sz w:val="28"/>
                <w:szCs w:val="28"/>
              </w:rPr>
              <w:t>（二）建立稳定的校企合作、产教融合的关系。与南京熊猫电子装备有限公司、广西汽车集团有限公司、江苏汇博机器人技术股份有限公司进行一系列的深度合作，强化专业对口岗位实习。</w:t>
            </w:r>
          </w:p>
          <w:p>
            <w:pPr>
              <w:snapToGrid w:val="0"/>
              <w:spacing w:line="500" w:lineRule="exact"/>
              <w:ind w:firstLine="560" w:firstLineChars="200"/>
              <w:rPr>
                <w:rFonts w:ascii="仿宋" w:hAnsi="仿宋" w:eastAsia="仿宋" w:cs="仿宋"/>
                <w:snapToGrid w:val="0"/>
                <w:sz w:val="28"/>
                <w:szCs w:val="28"/>
              </w:rPr>
            </w:pPr>
            <w:r>
              <w:rPr>
                <w:rFonts w:hint="eastAsia" w:ascii="仿宋" w:hAnsi="仿宋" w:eastAsia="仿宋" w:cs="仿宋"/>
                <w:snapToGrid w:val="0"/>
                <w:sz w:val="28"/>
                <w:szCs w:val="28"/>
              </w:rPr>
              <w:t>（三）主要人才培养规格要求。（1）学生要具备语言文字应用能力和自觉规范使用国家通用语言文字的意识、自觉传承弘扬中华优秀语言文化的意识。（2）掌握高等数学、电工电子、机械基础、机械制图等基础知识，掌握职业技能等级证书相关知识，对课程思政内容有较深的理解和认同，能够将数学、自然科学、工程基础和装备智能化技术的专业知识用于解决复杂工程问题。（3）独立承担装备智能化技术及相关领域工程项目，并能为复杂工程项目提供系统解决方案，进行相关产品设计、制造、开发和生产。</w:t>
            </w:r>
          </w:p>
          <w:p>
            <w:pPr>
              <w:pStyle w:val="15"/>
              <w:spacing w:line="500" w:lineRule="exact"/>
              <w:ind w:firstLine="560" w:firstLineChars="200"/>
              <w:jc w:val="both"/>
              <w:rPr>
                <w:rFonts w:ascii="Times New Roman" w:hAnsi="Times New Roman" w:eastAsia="方正仿宋简体" w:cs="Times New Roman"/>
                <w:sz w:val="18"/>
                <w:szCs w:val="18"/>
              </w:rPr>
            </w:pPr>
            <w:r>
              <w:rPr>
                <w:rFonts w:hint="eastAsia" w:ascii="仿宋" w:hAnsi="仿宋" w:eastAsia="仿宋" w:cs="仿宋"/>
                <w:snapToGrid w:val="0"/>
              </w:rPr>
              <w:t>（四）到2026年，预计为社会输送</w:t>
            </w:r>
            <w:r>
              <w:rPr>
                <w:rFonts w:ascii="仿宋" w:hAnsi="仿宋" w:eastAsia="仿宋" w:cs="仿宋"/>
                <w:snapToGrid w:val="0"/>
              </w:rPr>
              <w:t>70</w:t>
            </w:r>
            <w:r>
              <w:rPr>
                <w:rFonts w:hint="eastAsia" w:ascii="仿宋" w:hAnsi="仿宋" w:eastAsia="仿宋" w:cs="仿宋"/>
                <w:snapToGrid w:val="0"/>
              </w:rPr>
              <w:t>名品行兼优、德才兼备的高层次技术技能人才。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7"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办学条件概要</w:t>
            </w:r>
          </w:p>
        </w:tc>
        <w:tc>
          <w:tcPr>
            <w:tcW w:w="7844" w:type="dxa"/>
            <w:gridSpan w:val="4"/>
          </w:tcPr>
          <w:p>
            <w:pPr>
              <w:snapToGrid w:val="0"/>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一、具备开办专业所需的实习实训场所</w:t>
            </w:r>
          </w:p>
          <w:p>
            <w:pPr>
              <w:keepNext/>
              <w:keepLines/>
              <w:pageBreakBefore/>
              <w:widowControl/>
              <w:snapToGrid w:val="0"/>
              <w:spacing w:line="560" w:lineRule="exact"/>
              <w:ind w:firstLine="560" w:firstLineChars="200"/>
              <w:rPr>
                <w:rFonts w:ascii="仿宋" w:hAnsi="仿宋" w:eastAsia="仿宋" w:cs="仿宋_GB2312"/>
                <w:snapToGrid w:val="0"/>
                <w:sz w:val="28"/>
                <w:szCs w:val="28"/>
              </w:rPr>
            </w:pPr>
            <w:r>
              <w:rPr>
                <w:rFonts w:hint="eastAsia" w:ascii="仿宋" w:hAnsi="仿宋" w:eastAsia="仿宋" w:cs="仿宋_GB2312"/>
                <w:snapToGrid w:val="0"/>
                <w:sz w:val="28"/>
                <w:szCs w:val="28"/>
              </w:rPr>
              <w:t>拟建设专业目前已具备设备齐全的大型校内综合实训室，满足学生实训学习需求。校内专业相关实训室设备建设投入</w:t>
            </w:r>
            <w:r>
              <w:rPr>
                <w:rFonts w:hint="eastAsia" w:ascii="仿宋" w:hAnsi="仿宋" w:eastAsia="仿宋" w:cs="仿宋"/>
                <w:sz w:val="28"/>
                <w:szCs w:val="28"/>
              </w:rPr>
              <w:t>735.07万元，生均仪器设备值是3.27万元</w:t>
            </w:r>
            <w:r>
              <w:rPr>
                <w:rFonts w:hint="eastAsia" w:ascii="仿宋" w:hAnsi="仿宋" w:eastAsia="仿宋" w:cs="仿宋_GB2312"/>
                <w:snapToGrid w:val="0"/>
                <w:sz w:val="28"/>
                <w:szCs w:val="28"/>
              </w:rPr>
              <w:t>。建有工业机器人人才培养实训中心、智能加工实训中心、PLC综合实训室等专业实验实训室，可承载可编程器控制应用技术、工业机器人现场操作与编程等课程相关教学实训内容，为学生掌握专业技能知识提供了良好的实操环境。</w:t>
            </w:r>
          </w:p>
          <w:p>
            <w:pPr>
              <w:snapToGrid w:val="0"/>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二、推进产教融合，稳定校企合作关系</w:t>
            </w:r>
          </w:p>
          <w:p>
            <w:pPr>
              <w:keepNext/>
              <w:keepLines/>
              <w:pageBreakBefore/>
              <w:widowControl/>
              <w:snapToGrid w:val="0"/>
              <w:spacing w:line="560" w:lineRule="exact"/>
              <w:ind w:firstLine="560" w:firstLineChars="200"/>
              <w:rPr>
                <w:rFonts w:ascii="仿宋" w:hAnsi="仿宋" w:eastAsia="仿宋" w:cs="仿宋_GB2312"/>
                <w:snapToGrid w:val="0"/>
                <w:sz w:val="28"/>
                <w:szCs w:val="28"/>
              </w:rPr>
            </w:pPr>
            <w:r>
              <w:rPr>
                <w:rFonts w:hint="eastAsia" w:ascii="仿宋" w:hAnsi="仿宋" w:eastAsia="仿宋" w:cs="仿宋_GB2312"/>
                <w:snapToGrid w:val="0"/>
                <w:sz w:val="28"/>
                <w:szCs w:val="28"/>
              </w:rPr>
              <w:t>依托我校牵头的广西智能制造职业教育集团，与南京熊猫电子装备有限公司、江苏汇博机器人技术股份有限公司等10家企业开展校企合作，把企业引入学校、把技术引入教材，共编了《工业机器人操控实训指导书》同时把大师引入课堂，如：引进郑志明大师，曾获得国家发明和实用专利各一项，多项成果获广西先进工艺装备及先进设备改造评比一、二、三等奖，荣获国家级技能大师、国务院特殊津贴专家、全国技术能手、广西劳动模范等称号。2020年6月由上海法那科机器人有限公司授予我校FANUC机器人授权培训中心（C级）资格；组织开展“1+X工业机器人应用编程”、“1+X工业机器人操作与运维”职业技能等级证书考核，进一步促进学历证书与职业技能等级证书互通衔接，推进1+X证书制度。</w:t>
            </w:r>
          </w:p>
          <w:p>
            <w:pPr>
              <w:snapToGrid w:val="0"/>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三、专业建设经费稳定增长，专业发展可保障</w:t>
            </w:r>
          </w:p>
          <w:p>
            <w:pPr>
              <w:keepNext/>
              <w:keepLines/>
              <w:pageBreakBefore/>
              <w:widowControl/>
              <w:snapToGrid w:val="0"/>
              <w:spacing w:line="560" w:lineRule="exact"/>
              <w:ind w:firstLine="560" w:firstLineChars="200"/>
              <w:rPr>
                <w:rFonts w:hint="eastAsia" w:ascii="仿宋" w:hAnsi="仿宋" w:eastAsia="仿宋" w:cs="仿宋_GB2312"/>
                <w:snapToGrid w:val="0"/>
                <w:sz w:val="28"/>
                <w:szCs w:val="28"/>
              </w:rPr>
            </w:pPr>
            <w:r>
              <w:rPr>
                <w:rFonts w:hint="eastAsia" w:ascii="仿宋" w:hAnsi="仿宋" w:eastAsia="仿宋" w:cs="仿宋_GB2312"/>
                <w:snapToGrid w:val="0"/>
                <w:sz w:val="28"/>
                <w:szCs w:val="28"/>
              </w:rPr>
              <w:t>设立专项经费研讨组，针对经费支出做年度预算，着重对接产业链的专业群课程建设、教学改革、“双师型”教师队伍建设，及校企共建实习实训中心和技术研发中心、校企联合开展横向科研等项目。学校每年投入30万元专业建设经费，主要用于教学仪器设备采购、基础建设、教学实训耗材、教学业务费、师资队伍培养、科研与社会服务经费、实习就业费等方面。不断更新和完善实验实训室设施设备，保障专业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5"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技术研发与社会服务基础概要</w:t>
            </w:r>
          </w:p>
        </w:tc>
        <w:tc>
          <w:tcPr>
            <w:tcW w:w="7844" w:type="dxa"/>
            <w:gridSpan w:val="4"/>
          </w:tcPr>
          <w:p>
            <w:pPr>
              <w:snapToGrid w:val="0"/>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一、技术研发推广平台</w:t>
            </w:r>
          </w:p>
          <w:p>
            <w:pPr>
              <w:snapToGrid w:val="0"/>
              <w:spacing w:line="560" w:lineRule="exact"/>
              <w:ind w:firstLine="560" w:firstLineChars="200"/>
              <w:rPr>
                <w:rFonts w:ascii="黑体" w:hAnsi="黑体" w:eastAsia="仿宋" w:cs="黑体"/>
                <w:sz w:val="24"/>
                <w:szCs w:val="24"/>
              </w:rPr>
            </w:pPr>
            <w:r>
              <w:rPr>
                <w:rFonts w:hint="eastAsia" w:ascii="仿宋" w:hAnsi="仿宋" w:eastAsia="仿宋" w:cs="仿宋_GB2312"/>
                <w:sz w:val="28"/>
                <w:szCs w:val="28"/>
              </w:rPr>
              <w:t>2017年2月24日，我校被教育部确定为工业机器人领域职业教育合作项目“工业机器人应用人才培养中心”建设单位。2019年经自治区教育厅专家评审，获批广西高校机器人重点实验室培育基地，2019年5月，我校广西智能制造职业教育集团获自治区教育厅备案批复，为企业技术项目研发、教师技术研发实践和学生科技创新锻炼提供了良好的平台。</w:t>
            </w:r>
          </w:p>
          <w:p>
            <w:pPr>
              <w:snapToGrid w:val="0"/>
              <w:spacing w:line="560" w:lineRule="exact"/>
              <w:ind w:firstLine="560" w:firstLineChars="200"/>
              <w:rPr>
                <w:rFonts w:ascii="黑体" w:hAnsi="黑体" w:eastAsia="黑体" w:cs="黑体"/>
                <w:sz w:val="28"/>
                <w:szCs w:val="28"/>
              </w:rPr>
            </w:pPr>
            <w:r>
              <w:rPr>
                <w:rFonts w:hint="eastAsia" w:ascii="黑体" w:hAnsi="黑体" w:eastAsia="黑体" w:cs="黑体"/>
                <w:sz w:val="28"/>
                <w:szCs w:val="28"/>
              </w:rPr>
              <w:t>二、社会服务情况</w:t>
            </w:r>
          </w:p>
          <w:p>
            <w:pPr>
              <w:snapToGrid w:val="0"/>
              <w:spacing w:line="560" w:lineRule="exact"/>
              <w:ind w:firstLine="560" w:firstLineChars="200"/>
            </w:pPr>
            <w:r>
              <w:rPr>
                <w:rFonts w:hint="eastAsia" w:ascii="仿宋" w:hAnsi="仿宋" w:eastAsia="仿宋" w:cs="仿宋_GB2312"/>
                <w:sz w:val="28"/>
                <w:szCs w:val="28"/>
              </w:rPr>
              <w:t>本着立足广西、扎根地方、服务地方的理念，</w:t>
            </w:r>
            <w:r>
              <w:rPr>
                <w:rFonts w:ascii="仿宋" w:hAnsi="仿宋" w:eastAsia="仿宋" w:cs="仿宋_GB2312"/>
                <w:sz w:val="28"/>
                <w:szCs w:val="28"/>
              </w:rPr>
              <w:t>所依托专业</w:t>
            </w:r>
            <w:r>
              <w:rPr>
                <w:rFonts w:hint="eastAsia" w:ascii="仿宋" w:hAnsi="仿宋" w:eastAsia="仿宋" w:cs="仿宋_GB2312"/>
                <w:sz w:val="28"/>
                <w:szCs w:val="28"/>
              </w:rPr>
              <w:t>不断提高精准度和有效性，在服务经济社会发展中体现价值，深入推进产教融合作，教师积极面向区域、行业企业开展科研、技术研发、社会服务等项目，并具有良好的社会效益。专业教师组成社会服务课题小组，结合设备优势和师资力量，定期开展社会服务活动。近年来，累计面向区域制造业企业，开展“优化充电桩系统中的无线通讯软件”“自动化生产线的培训与设备检修咨询服务”等科研、教育技术服务项目共8项。</w:t>
            </w:r>
          </w:p>
          <w:p>
            <w:pPr>
              <w:snapToGrid w:val="0"/>
              <w:spacing w:line="560" w:lineRule="exact"/>
              <w:ind w:firstLine="560" w:firstLineChars="200"/>
              <w:jc w:val="left"/>
              <w:rPr>
                <w:rFonts w:ascii="黑体" w:hAnsi="黑体" w:eastAsia="黑体" w:cs="黑体"/>
                <w:sz w:val="28"/>
                <w:szCs w:val="28"/>
              </w:rPr>
            </w:pPr>
            <w:r>
              <w:rPr>
                <w:rFonts w:hint="eastAsia" w:ascii="黑体" w:hAnsi="黑体" w:eastAsia="黑体" w:cs="黑体"/>
                <w:sz w:val="28"/>
                <w:szCs w:val="28"/>
              </w:rPr>
              <w:t>三、职业培训</w:t>
            </w:r>
          </w:p>
          <w:p>
            <w:pPr>
              <w:snapToGrid w:val="0"/>
              <w:spacing w:line="560" w:lineRule="exact"/>
              <w:ind w:firstLine="560" w:firstLineChars="200"/>
              <w:rPr>
                <w:rFonts w:hint="eastAsia" w:ascii="仿宋" w:hAnsi="仿宋" w:eastAsia="仿宋" w:cs="仿宋_GB2312"/>
                <w:sz w:val="28"/>
                <w:szCs w:val="28"/>
              </w:rPr>
            </w:pPr>
            <w:r>
              <w:rPr>
                <w:rFonts w:hint="eastAsia" w:ascii="仿宋" w:hAnsi="仿宋" w:eastAsia="仿宋" w:cs="仿宋_GB2312"/>
                <w:sz w:val="28"/>
                <w:szCs w:val="28"/>
              </w:rPr>
              <w:t>近年来，所依托专业面向行业企业，开展机器人操作师培训、电气自动化设备培训等职业培训4项，帮助广西双创宝企业咨询服务有限公司、中粮屯河崇左糖业有限公司等企业开展职业培训总人数达498人次，为在校生人数的2.21倍。扩大了专业的社会影响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1"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专家组评议意见</w:t>
            </w:r>
          </w:p>
        </w:tc>
        <w:tc>
          <w:tcPr>
            <w:tcW w:w="7844" w:type="dxa"/>
            <w:gridSpan w:val="4"/>
            <w:vAlign w:val="bottom"/>
          </w:tcPr>
          <w:p>
            <w:pPr>
              <w:snapToGrid w:val="0"/>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专家组在认真审阅装备智能化技术专业材料的基础上，对该专业人才培养方案、课程体系设置、实训条件和师资队伍建设等方面进行了充分的研讨和论证，得出以下结论：</w:t>
            </w:r>
          </w:p>
          <w:p>
            <w:pPr>
              <w:keepNext/>
              <w:keepLines/>
              <w:pageBreakBefore/>
              <w:widowControl/>
              <w:snapToGrid w:val="0"/>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报告对中国制造业企业、国内装备智能领域人才供需进行充分调研论证，据中国行业研究网发布的《智能制造白皮书》显示，国内装备智能化人才供需指数逐年走高。2021年，国内装备智能领域人才供需较2019年提升13个百分点，说明我国装备智能人才不但严重紧缺装备智能人才严重紧缺，人才供给不足。</w:t>
            </w:r>
          </w:p>
          <w:p>
            <w:pPr>
              <w:snapToGrid w:val="0"/>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2.该专业办学基础、办学条件、办学特色符合教育部本科层次职业教育专业设置要求，所依托工业机器人技术专业师生比1:</w:t>
            </w:r>
            <w:r>
              <w:rPr>
                <w:rFonts w:ascii="仿宋" w:hAnsi="仿宋" w:eastAsia="仿宋" w:cs="仿宋"/>
                <w:sz w:val="28"/>
                <w:szCs w:val="28"/>
              </w:rPr>
              <w:t>15</w:t>
            </w:r>
            <w:r>
              <w:rPr>
                <w:rFonts w:hint="eastAsia" w:ascii="仿宋" w:hAnsi="仿宋" w:eastAsia="仿宋" w:cs="仿宋"/>
                <w:sz w:val="28"/>
                <w:szCs w:val="28"/>
              </w:rPr>
              <w:t>，高级职称专任教师比例5</w:t>
            </w:r>
            <w:r>
              <w:rPr>
                <w:rFonts w:ascii="仿宋" w:hAnsi="仿宋" w:eastAsia="仿宋" w:cs="仿宋"/>
                <w:sz w:val="28"/>
                <w:szCs w:val="28"/>
              </w:rPr>
              <w:t>3.85</w:t>
            </w:r>
            <w:r>
              <w:rPr>
                <w:rFonts w:hint="eastAsia" w:ascii="仿宋" w:hAnsi="仿宋" w:eastAsia="仿宋" w:cs="仿宋"/>
                <w:sz w:val="28"/>
                <w:szCs w:val="28"/>
              </w:rPr>
              <w:t>%，研究生学位专任教师比例</w:t>
            </w:r>
            <w:r>
              <w:rPr>
                <w:rFonts w:ascii="仿宋" w:hAnsi="仿宋" w:eastAsia="仿宋" w:cs="仿宋"/>
                <w:sz w:val="28"/>
                <w:szCs w:val="28"/>
              </w:rPr>
              <w:t>53.85</w:t>
            </w:r>
            <w:r>
              <w:rPr>
                <w:rFonts w:hint="eastAsia" w:ascii="仿宋" w:hAnsi="仿宋" w:eastAsia="仿宋" w:cs="仿宋"/>
                <w:sz w:val="28"/>
                <w:szCs w:val="28"/>
              </w:rPr>
              <w:t>%，具有博士研究生学位专任教师比例</w:t>
            </w:r>
            <w:r>
              <w:rPr>
                <w:rFonts w:ascii="仿宋" w:hAnsi="仿宋" w:eastAsia="仿宋" w:cs="仿宋"/>
                <w:sz w:val="28"/>
                <w:szCs w:val="28"/>
              </w:rPr>
              <w:t>15.38</w:t>
            </w:r>
            <w:r>
              <w:rPr>
                <w:rFonts w:hint="eastAsia" w:ascii="仿宋" w:hAnsi="仿宋" w:eastAsia="仿宋" w:cs="仿宋"/>
                <w:sz w:val="28"/>
                <w:szCs w:val="28"/>
              </w:rPr>
              <w:t>%，师资结构科学合理。</w:t>
            </w:r>
          </w:p>
          <w:p>
            <w:pPr>
              <w:snapToGrid w:val="0"/>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3.装备智能化技术专业人才培养方案整体框架结构合理，培养目标定位准确，教学实施过程理论与实践相结合，实践教学学时占总学时比例达50.26%，利于培养行业缺乏的工匠型人才。该专业符合高层次技术技能人才培养要求，合理可行，可操作性强。</w:t>
            </w:r>
          </w:p>
          <w:p>
            <w:pPr>
              <w:snapToGrid w:val="0"/>
              <w:jc w:val="left"/>
              <w:rPr>
                <w:rFonts w:ascii="Times New Roman" w:hAnsi="Times New Roman" w:eastAsia="仿宋_GB2312" w:cs="Times New Roman"/>
                <w:sz w:val="18"/>
                <w:szCs w:val="18"/>
              </w:rPr>
            </w:pPr>
          </w:p>
          <w:p>
            <w:pPr>
              <w:snapToGrid w:val="0"/>
              <w:ind w:firstLine="840" w:firstLineChars="300"/>
              <w:jc w:val="left"/>
              <w:rPr>
                <w:rFonts w:ascii="Times New Roman" w:hAnsi="Times New Roman" w:eastAsia="仿宋_GB2312" w:cs="Times New Roman"/>
                <w:sz w:val="18"/>
                <w:szCs w:val="18"/>
              </w:rPr>
            </w:pPr>
            <w:r>
              <w:rPr>
                <w:rFonts w:hint="eastAsia" w:ascii="仿宋" w:hAnsi="仿宋" w:eastAsia="仿宋" w:cs="仿宋"/>
                <w:sz w:val="28"/>
                <w:szCs w:val="28"/>
              </w:rPr>
              <w:t>综上所述，本科层次装备智能化技术专业设置和人才培养符合行业、市场需求，办学基础条件较好，培养目标定位、规格、方案合理可行，具有积极的现实意义和必要性。经专家组评议，一致同意设置该专业。</w:t>
            </w:r>
          </w:p>
          <w:p>
            <w:pPr>
              <w:snapToGrid w:val="0"/>
              <w:jc w:val="left"/>
              <w:rPr>
                <w:rFonts w:hint="eastAsia" w:ascii="Times New Roman" w:hAnsi="Times New Roman" w:eastAsia="仿宋_GB2312" w:cs="Times New Roman"/>
                <w:sz w:val="18"/>
                <w:szCs w:val="18"/>
              </w:rPr>
            </w:pPr>
          </w:p>
          <w:p>
            <w:pPr>
              <w:snapToGrid w:val="0"/>
              <w:jc w:val="left"/>
              <w:rPr>
                <w:rFonts w:ascii="Times New Roman" w:hAnsi="Times New Roman" w:eastAsia="仿宋_GB2312" w:cs="Times New Roman"/>
                <w:sz w:val="18"/>
                <w:szCs w:val="18"/>
              </w:rPr>
            </w:pPr>
          </w:p>
          <w:p>
            <w:pPr>
              <w:tabs>
                <w:tab w:val="left" w:pos="478"/>
              </w:tabs>
              <w:wordWrap w:val="0"/>
              <w:snapToGrid w:val="0"/>
              <w:ind w:firstLine="1440" w:firstLineChars="600"/>
              <w:rPr>
                <w:rFonts w:ascii="Times New Roman" w:hAnsi="Times New Roman" w:eastAsia="仿宋_GB2312" w:cs="Times New Roman"/>
                <w:sz w:val="24"/>
                <w:szCs w:val="24"/>
                <w:lang w:bidi="ar"/>
              </w:rPr>
            </w:pPr>
            <w:r>
              <w:rPr>
                <w:rFonts w:ascii="Times New Roman" w:hAnsi="Times New Roman" w:eastAsia="仿宋_GB2312" w:cs="Times New Roman"/>
                <w:sz w:val="24"/>
                <w:szCs w:val="24"/>
                <w:lang w:bidi="ar"/>
              </w:rPr>
              <w:t xml:space="preserve">专家组长签字：                                   </w:t>
            </w:r>
          </w:p>
          <w:p>
            <w:pPr>
              <w:snapToGrid w:val="0"/>
              <w:jc w:val="right"/>
              <w:rPr>
                <w:rFonts w:ascii="Times New Roman" w:hAnsi="Times New Roman" w:eastAsia="仿宋_GB2312" w:cs="Times New Roman"/>
                <w:szCs w:val="21"/>
                <w:lang w:bidi="ar"/>
              </w:rPr>
            </w:pPr>
          </w:p>
          <w:p>
            <w:pPr>
              <w:snapToGrid w:val="0"/>
              <w:ind w:right="90"/>
              <w:jc w:val="right"/>
              <w:rPr>
                <w:rFonts w:hint="eastAsia" w:ascii="Times New Roman" w:hAnsi="Times New Roman" w:eastAsia="仿宋_GB2312" w:cs="Times New Roman"/>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9" w:hRule="atLeast"/>
          <w:jc w:val="center"/>
        </w:trPr>
        <w:tc>
          <w:tcPr>
            <w:tcW w:w="888" w:type="dxa"/>
            <w:vAlign w:val="center"/>
          </w:tcPr>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仿宋_GB2312" w:cs="Times New Roman"/>
                <w:sz w:val="24"/>
                <w:szCs w:val="24"/>
              </w:rPr>
            </w:pP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省级教育行政部门复核意见</w:t>
            </w: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tc>
        <w:tc>
          <w:tcPr>
            <w:tcW w:w="7844" w:type="dxa"/>
            <w:gridSpan w:val="4"/>
            <w:vAlign w:val="bottom"/>
          </w:tcPr>
          <w:p>
            <w:pPr>
              <w:wordWrap w:val="0"/>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wordWrap w:val="0"/>
              <w:snapToGrid w:val="0"/>
              <w:jc w:val="right"/>
              <w:rPr>
                <w:rFonts w:ascii="Times New Roman" w:hAnsi="Times New Roman" w:eastAsia="方正仿宋简体" w:cs="Times New Roman"/>
                <w:sz w:val="18"/>
                <w:szCs w:val="18"/>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rPr>
            </w:pPr>
            <w:r>
              <w:rPr>
                <w:rFonts w:ascii="Times New Roman" w:hAnsi="Times New Roman" w:eastAsia="仿宋_GB2312" w:cs="Times New Roman"/>
                <w:sz w:val="20"/>
                <w:szCs w:val="20"/>
                <w:lang w:bidi="ar"/>
              </w:rPr>
              <w:t xml:space="preserve">          （盖章）                   </w:t>
            </w:r>
          </w:p>
          <w:p>
            <w:pPr>
              <w:snapToGrid w:val="0"/>
              <w:jc w:val="left"/>
              <w:rPr>
                <w:rFonts w:ascii="Times New Roman" w:hAnsi="Times New Roman" w:eastAsia="仿宋_GB2312" w:cs="Times New Roman"/>
                <w:sz w:val="20"/>
                <w:szCs w:val="20"/>
              </w:rPr>
            </w:pPr>
          </w:p>
          <w:p>
            <w:pPr>
              <w:wordWrap w:val="0"/>
              <w:snapToGrid w:val="0"/>
              <w:jc w:val="right"/>
              <w:rPr>
                <w:rFonts w:ascii="Times New Roman" w:hAnsi="Times New Roman" w:eastAsia="方正仿宋简体" w:cs="Times New Roman"/>
                <w:sz w:val="18"/>
                <w:szCs w:val="18"/>
                <w:lang w:bidi="ar"/>
              </w:rPr>
            </w:pPr>
            <w:r>
              <w:rPr>
                <w:rFonts w:ascii="Times New Roman" w:hAnsi="Times New Roman" w:eastAsia="仿宋_GB2312" w:cs="Times New Roman"/>
                <w:sz w:val="20"/>
                <w:szCs w:val="20"/>
                <w:lang w:bidi="ar"/>
              </w:rPr>
              <w:t xml:space="preserve"> 年    月    日      </w:t>
            </w:r>
            <w:r>
              <w:rPr>
                <w:rFonts w:ascii="Times New Roman" w:hAnsi="Times New Roman" w:eastAsia="方正仿宋简体" w:cs="Times New Roman"/>
                <w:sz w:val="18"/>
                <w:szCs w:val="18"/>
                <w:lang w:bidi="ar"/>
              </w:rPr>
              <w:t xml:space="preserve">         </w:t>
            </w:r>
          </w:p>
          <w:p>
            <w:pPr>
              <w:snapToGrid w:val="0"/>
              <w:jc w:val="right"/>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tc>
      </w:tr>
    </w:tbl>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FFEE7D2-EECF-4102-92A9-776B6830A9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2CEB7E3-715C-42CE-A225-DC12C77619E6}"/>
  </w:font>
  <w:font w:name="方正小标宋简体">
    <w:panose1 w:val="03000509000000000000"/>
    <w:charset w:val="86"/>
    <w:family w:val="script"/>
    <w:pitch w:val="default"/>
    <w:sig w:usb0="00000001" w:usb1="080E0000" w:usb2="00000000" w:usb3="00000000" w:csb0="00040000" w:csb1="00000000"/>
    <w:embedRegular r:id="rId3" w:fontKey="{AC97C2A7-9173-476B-83C1-7A44161C5BB3}"/>
  </w:font>
  <w:font w:name="楷体_GB2312">
    <w:altName w:val="楷体"/>
    <w:panose1 w:val="00000000000000000000"/>
    <w:charset w:val="86"/>
    <w:family w:val="modern"/>
    <w:pitch w:val="default"/>
    <w:sig w:usb0="00000000" w:usb1="00000000" w:usb2="00000000" w:usb3="00000000" w:csb0="00040000" w:csb1="00000000"/>
    <w:embedRegular r:id="rId4" w:fontKey="{1845F36B-4C80-422A-8B86-158325D6E47A}"/>
  </w:font>
  <w:font w:name="仿宋_GB2312">
    <w:altName w:val="仿宋"/>
    <w:panose1 w:val="00000000000000000000"/>
    <w:charset w:val="86"/>
    <w:family w:val="modern"/>
    <w:pitch w:val="default"/>
    <w:sig w:usb0="00000000" w:usb1="00000000" w:usb2="00000000" w:usb3="00000000" w:csb0="00040000" w:csb1="00000000"/>
    <w:embedRegular r:id="rId5" w:fontKey="{E27AD0D4-B31E-427A-A21B-D0B80D6190AA}"/>
  </w:font>
  <w:font w:name="方正仿宋简体">
    <w:altName w:val="微软雅黑"/>
    <w:panose1 w:val="00000000000000000000"/>
    <w:charset w:val="86"/>
    <w:family w:val="script"/>
    <w:pitch w:val="default"/>
    <w:sig w:usb0="00000000" w:usb1="00000000" w:usb2="00000000" w:usb3="00000000" w:csb0="00040000" w:csb1="00000000"/>
    <w:embedRegular r:id="rId6" w:fontKey="{D34F5A96-7F03-4F88-8CD3-B59C9215F391}"/>
  </w:font>
  <w:font w:name="仿宋">
    <w:panose1 w:val="02010609060101010101"/>
    <w:charset w:val="86"/>
    <w:family w:val="modern"/>
    <w:pitch w:val="default"/>
    <w:sig w:usb0="800002BF" w:usb1="38CF7CFA" w:usb2="00000016" w:usb3="00000000" w:csb0="00040001" w:csb1="00000000"/>
    <w:embedRegular r:id="rId7" w:fontKey="{D16B4FEF-DDF5-4B9D-89EE-E7CCCC99F64E}"/>
  </w:font>
  <w:font w:name="微软雅黑">
    <w:panose1 w:val="020B0503020204020204"/>
    <w:charset w:val="86"/>
    <w:family w:val="swiss"/>
    <w:pitch w:val="default"/>
    <w:sig w:usb0="80000287" w:usb1="2ACF3C50" w:usb2="00000016" w:usb3="00000000" w:csb0="0004001F" w:csb1="00000000"/>
    <w:embedRegular r:id="rId8" w:fontKey="{A16ABE95-4B7B-4640-8093-5C498A645912}"/>
  </w:font>
  <w:font w:name="楷体">
    <w:panose1 w:val="02010609060101010101"/>
    <w:charset w:val="86"/>
    <w:family w:val="modern"/>
    <w:pitch w:val="default"/>
    <w:sig w:usb0="800002BF" w:usb1="38CF7CFA" w:usb2="00000016" w:usb3="00000000" w:csb0="00040001" w:csb1="00000000"/>
    <w:embedRegular r:id="rId9" w:fontKey="{5274AB66-6657-44C3-9EB6-D0DFBA5F4FE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szCs w:val="28"/>
      </w:rP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sdt>
      <w:sdtPr>
        <w:rPr>
          <w:sz w:val="28"/>
          <w:szCs w:val="28"/>
        </w:rPr>
        <w:id w:val="-176116451"/>
      </w:sdtPr>
      <w:sdtEndPr>
        <w:rPr>
          <w:sz w:val="28"/>
          <w:szCs w:val="28"/>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szCs w:val="28"/>
      </w:rPr>
    </w:pPr>
  </w:p>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8"/>
        <w:szCs w:val="28"/>
      </w:rPr>
    </w:pPr>
    <w:sdt>
      <w:sdtPr>
        <w:rPr>
          <w:sz w:val="28"/>
          <w:szCs w:val="28"/>
        </w:rPr>
        <w:id w:val="997376911"/>
      </w:sdtPr>
      <w:sdtEndPr>
        <w:rPr>
          <w:sz w:val="28"/>
          <w:szCs w:val="28"/>
        </w:rPr>
      </w:sdtEnd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7"/>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v:textbox>
            </v:shape>
          </w:pict>
        </mc:Fallback>
      </mc:AlternateContent>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4854C7"/>
    <w:multiLevelType w:val="singleLevel"/>
    <w:tmpl w:val="324854C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NmJiZDEzNmYyNGNhMDMwZmYxMmVkNTkyMGYwMWYifQ=="/>
  </w:docVars>
  <w:rsids>
    <w:rsidRoot w:val="002C55B4"/>
    <w:rsid w:val="00061666"/>
    <w:rsid w:val="000963A5"/>
    <w:rsid w:val="000C42B4"/>
    <w:rsid w:val="00103805"/>
    <w:rsid w:val="001D724B"/>
    <w:rsid w:val="00287D1B"/>
    <w:rsid w:val="002C55B4"/>
    <w:rsid w:val="00370DF5"/>
    <w:rsid w:val="003778D2"/>
    <w:rsid w:val="00431DDE"/>
    <w:rsid w:val="005666FB"/>
    <w:rsid w:val="005C55EC"/>
    <w:rsid w:val="006758CD"/>
    <w:rsid w:val="006C7AE4"/>
    <w:rsid w:val="007111D9"/>
    <w:rsid w:val="00865DC1"/>
    <w:rsid w:val="00867EC5"/>
    <w:rsid w:val="008B00DB"/>
    <w:rsid w:val="009124E5"/>
    <w:rsid w:val="009222B0"/>
    <w:rsid w:val="0097721B"/>
    <w:rsid w:val="009919B7"/>
    <w:rsid w:val="00A6731A"/>
    <w:rsid w:val="00B0451A"/>
    <w:rsid w:val="00B12271"/>
    <w:rsid w:val="00B367B5"/>
    <w:rsid w:val="00B41EF8"/>
    <w:rsid w:val="00B57033"/>
    <w:rsid w:val="00BE6E2D"/>
    <w:rsid w:val="00DD04E4"/>
    <w:rsid w:val="00E83BAB"/>
    <w:rsid w:val="00EA2588"/>
    <w:rsid w:val="00EC00BE"/>
    <w:rsid w:val="012D63B8"/>
    <w:rsid w:val="02CB619B"/>
    <w:rsid w:val="030C696A"/>
    <w:rsid w:val="03233604"/>
    <w:rsid w:val="056D353A"/>
    <w:rsid w:val="061E54F0"/>
    <w:rsid w:val="064937A9"/>
    <w:rsid w:val="06B70F10"/>
    <w:rsid w:val="07151785"/>
    <w:rsid w:val="08484032"/>
    <w:rsid w:val="08AA0601"/>
    <w:rsid w:val="09A80FD6"/>
    <w:rsid w:val="0D5B7C0B"/>
    <w:rsid w:val="0DC908DF"/>
    <w:rsid w:val="0EC57F43"/>
    <w:rsid w:val="0EC95C85"/>
    <w:rsid w:val="0FA83AEC"/>
    <w:rsid w:val="0FF327CF"/>
    <w:rsid w:val="105A290D"/>
    <w:rsid w:val="11016C5B"/>
    <w:rsid w:val="11742B9D"/>
    <w:rsid w:val="11EF37D9"/>
    <w:rsid w:val="128F2D41"/>
    <w:rsid w:val="15CD2572"/>
    <w:rsid w:val="15E12BB1"/>
    <w:rsid w:val="15E3207E"/>
    <w:rsid w:val="16444045"/>
    <w:rsid w:val="18345CA0"/>
    <w:rsid w:val="1C1F7CBC"/>
    <w:rsid w:val="1C250273"/>
    <w:rsid w:val="1C4459F6"/>
    <w:rsid w:val="1CF87735"/>
    <w:rsid w:val="1D567998"/>
    <w:rsid w:val="1D7B4783"/>
    <w:rsid w:val="1DBA2C3C"/>
    <w:rsid w:val="1DEA5372"/>
    <w:rsid w:val="1DFB1E95"/>
    <w:rsid w:val="1EFA1000"/>
    <w:rsid w:val="23EE53EE"/>
    <w:rsid w:val="25F71631"/>
    <w:rsid w:val="2701381A"/>
    <w:rsid w:val="28E81CCC"/>
    <w:rsid w:val="299B722B"/>
    <w:rsid w:val="2C365548"/>
    <w:rsid w:val="2EE326FA"/>
    <w:rsid w:val="2FB160AE"/>
    <w:rsid w:val="3162426B"/>
    <w:rsid w:val="31807FCD"/>
    <w:rsid w:val="31EE2271"/>
    <w:rsid w:val="32384404"/>
    <w:rsid w:val="33A06705"/>
    <w:rsid w:val="33FA432C"/>
    <w:rsid w:val="34486C7E"/>
    <w:rsid w:val="34CA0BC8"/>
    <w:rsid w:val="3609758F"/>
    <w:rsid w:val="365B4B65"/>
    <w:rsid w:val="371437C0"/>
    <w:rsid w:val="3B00261D"/>
    <w:rsid w:val="3C177780"/>
    <w:rsid w:val="3D9146C5"/>
    <w:rsid w:val="3F9B2168"/>
    <w:rsid w:val="4054603A"/>
    <w:rsid w:val="410C1742"/>
    <w:rsid w:val="41BB2BFE"/>
    <w:rsid w:val="42BE6249"/>
    <w:rsid w:val="438D20EA"/>
    <w:rsid w:val="448734FB"/>
    <w:rsid w:val="44A973E3"/>
    <w:rsid w:val="46C95B1B"/>
    <w:rsid w:val="482A6DA7"/>
    <w:rsid w:val="488C4D1B"/>
    <w:rsid w:val="490A544F"/>
    <w:rsid w:val="4A74621A"/>
    <w:rsid w:val="4A8561FD"/>
    <w:rsid w:val="4B9801F5"/>
    <w:rsid w:val="4C0E62F1"/>
    <w:rsid w:val="4CB37051"/>
    <w:rsid w:val="4E6656E1"/>
    <w:rsid w:val="4E9E65B0"/>
    <w:rsid w:val="4EAC09D3"/>
    <w:rsid w:val="4F041DA9"/>
    <w:rsid w:val="4F82721D"/>
    <w:rsid w:val="4F8F3D3C"/>
    <w:rsid w:val="51206ED5"/>
    <w:rsid w:val="51F01577"/>
    <w:rsid w:val="540B3D5F"/>
    <w:rsid w:val="548712BD"/>
    <w:rsid w:val="55794FC6"/>
    <w:rsid w:val="57902C01"/>
    <w:rsid w:val="57F74CC6"/>
    <w:rsid w:val="5B372BFB"/>
    <w:rsid w:val="5BCA019E"/>
    <w:rsid w:val="5E9F5687"/>
    <w:rsid w:val="5F2176D5"/>
    <w:rsid w:val="5F9A2F47"/>
    <w:rsid w:val="5FC749CF"/>
    <w:rsid w:val="607715A2"/>
    <w:rsid w:val="61021A6A"/>
    <w:rsid w:val="61167757"/>
    <w:rsid w:val="61977F9C"/>
    <w:rsid w:val="61D26D1A"/>
    <w:rsid w:val="632E6FDA"/>
    <w:rsid w:val="641C32D6"/>
    <w:rsid w:val="66D05B98"/>
    <w:rsid w:val="67070D00"/>
    <w:rsid w:val="689C4957"/>
    <w:rsid w:val="69032B47"/>
    <w:rsid w:val="6C1D7BEB"/>
    <w:rsid w:val="6C441742"/>
    <w:rsid w:val="6C762D85"/>
    <w:rsid w:val="6E2D6EDC"/>
    <w:rsid w:val="6F1F63F1"/>
    <w:rsid w:val="6F450C57"/>
    <w:rsid w:val="6F7651DF"/>
    <w:rsid w:val="6FDF2B4A"/>
    <w:rsid w:val="70316E4B"/>
    <w:rsid w:val="70CE7E93"/>
    <w:rsid w:val="726E11A1"/>
    <w:rsid w:val="72874F10"/>
    <w:rsid w:val="7787089B"/>
    <w:rsid w:val="77E823FE"/>
    <w:rsid w:val="786B1E12"/>
    <w:rsid w:val="7B0844D9"/>
    <w:rsid w:val="7D6C33DB"/>
    <w:rsid w:val="7EAE3DAD"/>
    <w:rsid w:val="7F97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customStyle="1" w:styleId="2">
    <w:name w:val="首行缩进"/>
    <w:basedOn w:val="1"/>
    <w:qFormat/>
    <w:uiPriority w:val="0"/>
  </w:style>
  <w:style w:type="paragraph" w:styleId="4">
    <w:name w:val="annotation text"/>
    <w:basedOn w:val="1"/>
    <w:link w:val="17"/>
    <w:qFormat/>
    <w:uiPriority w:val="0"/>
    <w:pPr>
      <w:jc w:val="left"/>
    </w:pPr>
  </w:style>
  <w:style w:type="paragraph" w:styleId="5">
    <w:name w:val="Body Text"/>
    <w:basedOn w:val="1"/>
    <w:qFormat/>
    <w:uiPriority w:val="0"/>
    <w:pPr>
      <w:spacing w:after="120"/>
    </w:pPr>
  </w:style>
  <w:style w:type="paragraph" w:styleId="6">
    <w:name w:val="Balloon Text"/>
    <w:basedOn w:val="1"/>
    <w:link w:val="19"/>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2"/>
    <w:basedOn w:val="1"/>
    <w:next w:val="5"/>
    <w:unhideWhenUsed/>
    <w:qFormat/>
    <w:uiPriority w:val="99"/>
    <w:pPr>
      <w:spacing w:after="120" w:line="480" w:lineRule="auto"/>
    </w:pPr>
  </w:style>
  <w:style w:type="paragraph" w:styleId="10">
    <w:name w:val="annotation subject"/>
    <w:basedOn w:val="4"/>
    <w:next w:val="4"/>
    <w:link w:val="18"/>
    <w:qFormat/>
    <w:uiPriority w:val="0"/>
    <w:rPr>
      <w:b/>
      <w:bCs/>
    </w:rPr>
  </w:style>
  <w:style w:type="character" w:styleId="13">
    <w:name w:val="annotation reference"/>
    <w:basedOn w:val="12"/>
    <w:qFormat/>
    <w:uiPriority w:val="0"/>
    <w:rPr>
      <w:sz w:val="21"/>
      <w:szCs w:val="21"/>
    </w:rPr>
  </w:style>
  <w:style w:type="table" w:customStyle="1" w:styleId="14">
    <w:name w:val="网格型1"/>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标题二2（楷体标题）"/>
    <w:basedOn w:val="1"/>
    <w:next w:val="3"/>
    <w:qFormat/>
    <w:uiPriority w:val="0"/>
    <w:pPr>
      <w:spacing w:line="560" w:lineRule="exact"/>
      <w:jc w:val="center"/>
    </w:pPr>
    <w:rPr>
      <w:rFonts w:ascii="宋体" w:hAnsi="宋体" w:cs="宋体"/>
      <w:sz w:val="28"/>
      <w:szCs w:val="28"/>
    </w:rPr>
  </w:style>
  <w:style w:type="paragraph" w:customStyle="1" w:styleId="16">
    <w:name w:val="Table Paragraph"/>
    <w:basedOn w:val="1"/>
    <w:qFormat/>
    <w:uiPriority w:val="1"/>
    <w:pPr>
      <w:spacing w:before="95"/>
    </w:pPr>
  </w:style>
  <w:style w:type="character" w:customStyle="1" w:styleId="17">
    <w:name w:val="批注文字 Char"/>
    <w:basedOn w:val="12"/>
    <w:link w:val="4"/>
    <w:qFormat/>
    <w:uiPriority w:val="0"/>
    <w:rPr>
      <w:kern w:val="2"/>
      <w:sz w:val="21"/>
      <w:szCs w:val="22"/>
    </w:rPr>
  </w:style>
  <w:style w:type="character" w:customStyle="1" w:styleId="18">
    <w:name w:val="批注主题 Char"/>
    <w:basedOn w:val="17"/>
    <w:link w:val="10"/>
    <w:qFormat/>
    <w:uiPriority w:val="0"/>
    <w:rPr>
      <w:b/>
      <w:bCs/>
      <w:kern w:val="2"/>
      <w:sz w:val="21"/>
      <w:szCs w:val="22"/>
    </w:rPr>
  </w:style>
  <w:style w:type="character" w:customStyle="1" w:styleId="19">
    <w:name w:val="批注框文本 Char"/>
    <w:basedOn w:val="12"/>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5262</Words>
  <Characters>5542</Characters>
  <Lines>41</Lines>
  <Paragraphs>11</Paragraphs>
  <TotalTime>84</TotalTime>
  <ScaleCrop>false</ScaleCrop>
  <LinksUpToDate>false</LinksUpToDate>
  <CharactersWithSpaces>5634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2022-11-24T10:44:00Z</dcterms:created>
  <dc:creator>DELL</dc:creator>
  <cp:lastModifiedBy>DELL</cp:lastModifiedBy>
  <cp:lastPrinted>2023-12-02T02:48:00Z</cp:lastPrinted>
  <dcterms:modified xsi:type="dcterms:W3CDTF">2023-12-02T04:47:14Z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E7EFFB4779344FCBAE6B26F4F50EBD58</vt:lpwstr>
  </property>
</Properties>
</file>