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outlineLvl w:val="0"/>
        <w:rPr>
          <w:rFonts w:ascii="Times New Roman" w:hAnsi="Times New Roman" w:eastAsia="黑体" w:cs="Times New Roman"/>
          <w:sz w:val="28"/>
          <w:szCs w:val="28"/>
        </w:rPr>
      </w:pPr>
      <w:r>
        <w:rPr>
          <w:rFonts w:ascii="Times New Roman" w:hAnsi="Times New Roman" w:eastAsia="黑体" w:cs="Times New Roman"/>
          <w:sz w:val="28"/>
          <w:szCs w:val="28"/>
        </w:rPr>
        <w:t>附件5</w:t>
      </w:r>
    </w:p>
    <w:p>
      <w:pPr>
        <w:jc w:val="center"/>
        <w:rPr>
          <w:rFonts w:ascii="Times New Roman" w:hAnsi="Times New Roman" w:eastAsia="方正小标宋简体" w:cs="Times New Roman"/>
          <w:snapToGrid w:val="0"/>
          <w:spacing w:val="-10"/>
          <w:sz w:val="44"/>
          <w:szCs w:val="44"/>
        </w:rPr>
      </w:pPr>
    </w:p>
    <w:p>
      <w:pPr>
        <w:jc w:val="center"/>
        <w:rPr>
          <w:rFonts w:ascii="Times New Roman" w:hAnsi="Times New Roman" w:eastAsia="方正小标宋简体" w:cs="Times New Roman"/>
          <w:snapToGrid w:val="0"/>
          <w:spacing w:val="-10"/>
          <w:sz w:val="44"/>
          <w:szCs w:val="44"/>
        </w:rPr>
      </w:pPr>
    </w:p>
    <w:p>
      <w:pPr>
        <w:snapToGrid w:val="0"/>
        <w:jc w:val="center"/>
        <w:textAlignment w:val="baseline"/>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高职本科拟招生专业信息表</w:t>
      </w:r>
    </w:p>
    <w:p>
      <w:pPr>
        <w:jc w:val="center"/>
        <w:outlineLvl w:val="0"/>
        <w:rPr>
          <w:rFonts w:ascii="Times New Roman" w:hAnsi="Times New Roman" w:eastAsia="楷体_GB2312" w:cs="Times New Roman"/>
          <w:b/>
          <w:bCs/>
          <w:snapToGrid w:val="0"/>
          <w:spacing w:val="-10"/>
          <w:sz w:val="44"/>
          <w:szCs w:val="44"/>
        </w:rPr>
      </w:pPr>
      <w:r>
        <w:rPr>
          <w:rFonts w:ascii="Times New Roman" w:hAnsi="Times New Roman" w:eastAsia="方正小标宋简体" w:cs="Times New Roman"/>
          <w:bCs/>
          <w:sz w:val="36"/>
          <w:szCs w:val="36"/>
        </w:rPr>
        <w:t>（新增设）</w:t>
      </w:r>
    </w:p>
    <w:p>
      <w:pPr>
        <w:ind w:left="930" w:leftChars="443"/>
        <w:rPr>
          <w:rFonts w:ascii="Times New Roman" w:hAnsi="Times New Roman" w:eastAsia="楷体_GB2312" w:cs="Times New Roman"/>
          <w:sz w:val="32"/>
          <w:szCs w:val="32"/>
          <w:lang w:bidi="ar"/>
        </w:rPr>
      </w:pPr>
    </w:p>
    <w:tbl>
      <w:tblPr>
        <w:tblStyle w:val="10"/>
        <w:tblW w:w="8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0"/>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学校名称(盖章)：</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广西城市职业大学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学校主管部门：</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广西壮族自治区教育厅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专业名称：</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财税大数据应用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专业代码：</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330101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修业年限：</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拟招生数：</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200</w:t>
            </w:r>
            <w:r>
              <w:rPr>
                <w:rFonts w:hint="eastAsia" w:ascii="Times New Roman" w:hAnsi="Times New Roman" w:eastAsia="仿宋_GB2312" w:cs="Times New Roman"/>
                <w:sz w:val="32"/>
                <w:szCs w:val="32"/>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pacing w:val="-20"/>
                <w:sz w:val="32"/>
                <w:szCs w:val="32"/>
                <w:lang w:bidi="ar"/>
              </w:rPr>
              <w:t>专业负责人</w:t>
            </w:r>
            <w:r>
              <w:rPr>
                <w:rFonts w:ascii="Times New Roman" w:hAnsi="Times New Roman" w:eastAsia="仿宋_GB2312" w:cs="Times New Roman"/>
                <w:sz w:val="32"/>
                <w:szCs w:val="32"/>
                <w:lang w:bidi="ar"/>
              </w:rPr>
              <w:t>：</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宾明珍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联系电话：</w:t>
            </w:r>
          </w:p>
        </w:tc>
        <w:tc>
          <w:tcPr>
            <w:tcW w:w="3891" w:type="dxa"/>
          </w:tcPr>
          <w:p>
            <w:pPr>
              <w:widowControl/>
              <w:overflowPunct w:val="0"/>
              <w:adjustRightInd w:val="0"/>
              <w:jc w:val="center"/>
              <w:rPr>
                <w:rFonts w:ascii="Times New Roman" w:hAnsi="Times New Roman" w:cs="Times New Roman"/>
                <w:sz w:val="32"/>
                <w:szCs w:val="32"/>
              </w:rPr>
            </w:pPr>
            <w:r>
              <w:rPr>
                <w:rFonts w:hint="eastAsia" w:ascii="Times New Roman" w:hAnsi="Times New Roman" w:eastAsia="仿宋_GB2312" w:cs="Times New Roman"/>
                <w:sz w:val="32"/>
                <w:szCs w:val="32"/>
              </w:rPr>
              <w:t>13237814628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申请时间：</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法定代表人签字：</w:t>
            </w:r>
          </w:p>
        </w:tc>
        <w:tc>
          <w:tcPr>
            <w:tcW w:w="3891" w:type="dxa"/>
          </w:tcPr>
          <w:p>
            <w:pPr>
              <w:widowControl/>
              <w:overflowPunct w:val="0"/>
              <w:adjustRightInd w:val="0"/>
              <w:jc w:val="right"/>
              <w:rPr>
                <w:rFonts w:ascii="Times New Roman" w:hAnsi="Times New Roman" w:eastAsia="仿宋_GB2312" w:cs="Times New Roman"/>
                <w:sz w:val="32"/>
                <w:szCs w:val="32"/>
              </w:rPr>
            </w:pPr>
          </w:p>
        </w:tc>
      </w:tr>
    </w:tbl>
    <w:p>
      <w:pPr>
        <w:ind w:left="930" w:leftChars="443"/>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pStyle w:val="9"/>
        <w:rPr>
          <w:rFonts w:ascii="Times New Roman" w:hAnsi="Times New Roman" w:eastAsia="楷体_GB2312" w:cs="Times New Roman"/>
          <w:sz w:val="32"/>
          <w:szCs w:val="32"/>
          <w:lang w:bidi="ar"/>
        </w:rPr>
      </w:pPr>
    </w:p>
    <w:p>
      <w:pPr>
        <w:pStyle w:val="9"/>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6"/>
          <w:szCs w:val="24"/>
        </w:rPr>
      </w:pPr>
      <w:r>
        <w:rPr>
          <w:rFonts w:ascii="Times New Roman" w:hAnsi="Times New Roman" w:eastAsia="仿宋_GB2312" w:cs="Times New Roman"/>
          <w:sz w:val="36"/>
        </w:rPr>
        <w:t>中华人民共和国教育部制</w:t>
      </w: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2"/>
          <w:szCs w:val="32"/>
          <w:lang w:bidi="ar"/>
        </w:rPr>
      </w:pPr>
    </w:p>
    <w:p>
      <w:pPr>
        <w:jc w:val="center"/>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填表说明</w:t>
      </w:r>
    </w:p>
    <w:p>
      <w:pPr>
        <w:jc w:val="center"/>
        <w:rPr>
          <w:rFonts w:ascii="Times New Roman" w:hAnsi="Times New Roman" w:eastAsia="仿宋_GB2312" w:cs="Times New Roman"/>
          <w:sz w:val="32"/>
          <w:szCs w:val="32"/>
          <w:lang w:bidi="ar"/>
        </w:rPr>
      </w:pP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1.本表用于各学校填报新增拟招生的高职本科教育专业信息。</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2.根据《本科层次职业教育专业设置管理办法（试行）》（以下简称《办法》）的要求如实填报。</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3.表中所填内容要言简意赅，如有需要可另附报告，一个专业对应的报告单独一册，双面打印，单独装订。</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4.学校承诺本表所填师资、办学条件等基本情况真实、准确，如有虚假，一经发现，严肃处理。</w:t>
      </w: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snapToGrid w:val="0"/>
        <w:jc w:val="center"/>
        <w:rPr>
          <w:rFonts w:ascii="Times New Roman" w:hAnsi="Times New Roman" w:eastAsia="方正仿宋简体" w:cs="Times New Roman"/>
          <w:sz w:val="24"/>
          <w:szCs w:val="24"/>
        </w:rPr>
        <w:sectPr>
          <w:footerReference r:id="rId4" w:type="first"/>
          <w:footerReference r:id="rId3" w:type="default"/>
          <w:pgSz w:w="11906" w:h="16838"/>
          <w:pgMar w:top="1440" w:right="1803" w:bottom="1440" w:left="1803" w:header="851" w:footer="850" w:gutter="0"/>
          <w:pgNumType w:start="1"/>
          <w:cols w:space="720" w:num="1"/>
          <w:titlePg/>
          <w:docGrid w:type="lines" w:linePitch="579" w:charSpace="21679"/>
        </w:sectPr>
      </w:pPr>
    </w:p>
    <w:tbl>
      <w:tblPr>
        <w:tblStyle w:val="6"/>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01"/>
        <w:gridCol w:w="1606"/>
        <w:gridCol w:w="2646"/>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8732" w:type="dxa"/>
            <w:gridSpan w:val="5"/>
            <w:vAlign w:val="center"/>
          </w:tcPr>
          <w:p>
            <w:pPr>
              <w:snapToGrid w:val="0"/>
              <w:jc w:val="left"/>
              <w:rPr>
                <w:rFonts w:ascii="Times New Roman" w:hAnsi="Times New Roman" w:eastAsia="仿宋_GB2312" w:cs="Times New Roman"/>
                <w:sz w:val="24"/>
                <w:szCs w:val="24"/>
                <w:highlight w:val="none"/>
              </w:rPr>
            </w:pPr>
            <w:r>
              <w:rPr>
                <w:rFonts w:ascii="Times New Roman" w:hAnsi="Times New Roman" w:eastAsia="仿宋_GB2312" w:cs="Times New Roman"/>
                <w:b/>
                <w:bCs/>
                <w:sz w:val="24"/>
                <w:szCs w:val="24"/>
                <w:highlight w:val="none"/>
              </w:rPr>
              <w:t>拟招生专业基本情况：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拟招生专业名称</w:t>
            </w:r>
          </w:p>
        </w:tc>
        <w:tc>
          <w:tcPr>
            <w:tcW w:w="1606"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财税大数据应用</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专业代码</w:t>
            </w:r>
          </w:p>
        </w:tc>
        <w:tc>
          <w:tcPr>
            <w:tcW w:w="1791"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仿宋_GB2312"/>
                <w:color w:val="000000"/>
                <w:kern w:val="0"/>
                <w:sz w:val="24"/>
                <w:szCs w:val="24"/>
                <w:highlight w:val="none"/>
                <w:lang w:val="en-US" w:eastAsia="zh-CN" w:bidi="ar"/>
              </w:rPr>
              <w:t>3</w:t>
            </w:r>
            <w:r>
              <w:rPr>
                <w:rFonts w:hint="eastAsia" w:ascii="Times New Roman" w:hAnsi="Times New Roman" w:eastAsia="仿宋_GB2312" w:cs="仿宋_GB2312"/>
                <w:color w:val="000000"/>
                <w:kern w:val="0"/>
                <w:sz w:val="24"/>
                <w:szCs w:val="24"/>
                <w:highlight w:val="none"/>
                <w:lang w:bidi="ar"/>
              </w:rPr>
              <w:t>30101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办学性质</w:t>
            </w:r>
          </w:p>
        </w:tc>
        <w:tc>
          <w:tcPr>
            <w:tcW w:w="1606"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民办</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学位授予学科门类</w:t>
            </w:r>
          </w:p>
        </w:tc>
        <w:tc>
          <w:tcPr>
            <w:tcW w:w="1791"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202</w:t>
            </w:r>
            <w:r>
              <w:rPr>
                <w:rFonts w:hint="eastAsia" w:ascii="Times New Roman" w:hAnsi="Times New Roman" w:eastAsia="仿宋_GB2312" w:cs="Times New Roman"/>
                <w:sz w:val="24"/>
                <w:szCs w:val="24"/>
                <w:highlight w:val="none"/>
              </w:rPr>
              <w:t>4</w:t>
            </w:r>
            <w:r>
              <w:rPr>
                <w:rFonts w:ascii="Times New Roman" w:hAnsi="Times New Roman" w:eastAsia="仿宋_GB2312" w:cs="Times New Roman"/>
                <w:sz w:val="24"/>
                <w:szCs w:val="24"/>
                <w:highlight w:val="none"/>
              </w:rPr>
              <w:t>年拟招生数（人）</w:t>
            </w:r>
          </w:p>
        </w:tc>
        <w:tc>
          <w:tcPr>
            <w:tcW w:w="1606"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2</w:t>
            </w:r>
            <w:r>
              <w:rPr>
                <w:rFonts w:ascii="Times New Roman" w:hAnsi="Times New Roman" w:eastAsia="仿宋_GB2312" w:cs="Times New Roman"/>
                <w:sz w:val="24"/>
                <w:szCs w:val="24"/>
                <w:highlight w:val="none"/>
              </w:rPr>
              <w:t>00</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学制</w:t>
            </w:r>
          </w:p>
        </w:tc>
        <w:tc>
          <w:tcPr>
            <w:tcW w:w="1791"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总学时</w:t>
            </w:r>
          </w:p>
        </w:tc>
        <w:tc>
          <w:tcPr>
            <w:tcW w:w="1606" w:type="dxa"/>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rPr>
              <w:t>3</w:t>
            </w:r>
            <w:r>
              <w:rPr>
                <w:rFonts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val="en-US" w:eastAsia="zh-CN"/>
              </w:rPr>
              <w:t>92</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实践教学学时</w:t>
            </w:r>
          </w:p>
        </w:tc>
        <w:tc>
          <w:tcPr>
            <w:tcW w:w="1791" w:type="dxa"/>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实践教学学时占总学时的比例</w:t>
            </w:r>
          </w:p>
        </w:tc>
        <w:tc>
          <w:tcPr>
            <w:tcW w:w="1606"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5</w:t>
            </w:r>
            <w:r>
              <w:rPr>
                <w:rFonts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70</w:t>
            </w:r>
            <w:r>
              <w:rPr>
                <w:rFonts w:ascii="Times New Roman" w:hAnsi="Times New Roman" w:eastAsia="仿宋_GB2312" w:cs="Times New Roman"/>
                <w:sz w:val="24"/>
                <w:szCs w:val="24"/>
                <w:highlight w:val="none"/>
              </w:rPr>
              <w:t>%</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实验实训项目（任务）能够开出率（%）</w:t>
            </w:r>
          </w:p>
        </w:tc>
        <w:tc>
          <w:tcPr>
            <w:tcW w:w="1791"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1</w:t>
            </w:r>
            <w:r>
              <w:rPr>
                <w:rFonts w:ascii="Times New Roman" w:hAnsi="Times New Roman" w:eastAsia="仿宋_GB2312" w:cs="Times New Roman"/>
                <w:sz w:val="24"/>
                <w:szCs w:val="24"/>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“双师型”教师</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占比（%）</w:t>
            </w:r>
          </w:p>
        </w:tc>
        <w:tc>
          <w:tcPr>
            <w:tcW w:w="160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54.55</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兼职教师数（人）</w:t>
            </w:r>
          </w:p>
        </w:tc>
        <w:tc>
          <w:tcPr>
            <w:tcW w:w="1791"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兼职教师计划承担的专业课授课学时占专业课总学时比例（%）</w:t>
            </w:r>
          </w:p>
        </w:tc>
        <w:tc>
          <w:tcPr>
            <w:tcW w:w="160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20.39</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是否有省级及以上教育行政部门等认定的高水平教师教学（科研）创新团队</w:t>
            </w:r>
          </w:p>
        </w:tc>
        <w:tc>
          <w:tcPr>
            <w:tcW w:w="1791"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省级及以上教学名师数量（人）</w:t>
            </w:r>
          </w:p>
        </w:tc>
        <w:tc>
          <w:tcPr>
            <w:tcW w:w="1606"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0</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省级及以上教学领域有关奖励数量（项）</w:t>
            </w:r>
          </w:p>
        </w:tc>
        <w:tc>
          <w:tcPr>
            <w:tcW w:w="1791"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2</w:t>
            </w:r>
            <w:r>
              <w:rPr>
                <w:rFonts w:ascii="Times New Roman" w:hAnsi="Times New Roman" w:eastAsia="仿宋_GB2312" w:cs="Times New Roman"/>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生均教学科研仪器设备值（万元）</w:t>
            </w:r>
          </w:p>
        </w:tc>
        <w:tc>
          <w:tcPr>
            <w:tcW w:w="1606" w:type="dxa"/>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1.525</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是否有省级及以上技术研发推广平台</w:t>
            </w:r>
          </w:p>
        </w:tc>
        <w:tc>
          <w:tcPr>
            <w:tcW w:w="1791"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8732" w:type="dxa"/>
            <w:gridSpan w:val="5"/>
            <w:tcBorders>
              <w:bottom w:val="single" w:color="000000" w:sz="4" w:space="0"/>
            </w:tcBorders>
            <w:vAlign w:val="center"/>
          </w:tcPr>
          <w:p>
            <w:pPr>
              <w:snapToGrid w:val="0"/>
              <w:jc w:val="left"/>
              <w:rPr>
                <w:rFonts w:ascii="Times New Roman" w:hAnsi="Times New Roman" w:eastAsia="仿宋_GB2312" w:cs="Times New Roman"/>
                <w:sz w:val="24"/>
                <w:szCs w:val="24"/>
                <w:highlight w:val="none"/>
              </w:rPr>
            </w:pPr>
            <w:r>
              <w:rPr>
                <w:rFonts w:ascii="Times New Roman" w:hAnsi="Times New Roman" w:eastAsia="仿宋_GB2312" w:cs="Times New Roman"/>
                <w:b/>
                <w:bCs/>
                <w:sz w:val="24"/>
                <w:szCs w:val="24"/>
                <w:highlight w:val="none"/>
              </w:rPr>
              <w:t>所依托主要专业基本情况：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专业名称</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rPr>
              <w:t>大数据与会</w:t>
            </w:r>
            <w:r>
              <w:rPr>
                <w:rFonts w:hint="eastAsia" w:ascii="Times New Roman" w:hAnsi="Times New Roman" w:eastAsia="仿宋_GB2312" w:cs="Times New Roman"/>
                <w:sz w:val="24"/>
                <w:szCs w:val="24"/>
                <w:highlight w:val="none"/>
                <w:lang w:eastAsia="zh-CN"/>
              </w:rPr>
              <w:t>计（专科）</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专业代码</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5</w:t>
            </w:r>
            <w:r>
              <w:rPr>
                <w:rFonts w:hint="eastAsia" w:ascii="Times New Roman" w:hAnsi="Times New Roman" w:eastAsia="仿宋_GB2312" w:cs="Times New Roman"/>
                <w:sz w:val="24"/>
                <w:szCs w:val="24"/>
                <w:highlight w:val="none"/>
              </w:rPr>
              <w:t>30302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专业开设时间</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rPr>
              <w:t>20</w:t>
            </w:r>
            <w:r>
              <w:rPr>
                <w:rFonts w:hint="eastAsia" w:ascii="Times New Roman" w:hAnsi="Times New Roman" w:eastAsia="仿宋_GB2312" w:cs="Times New Roman"/>
                <w:sz w:val="24"/>
                <w:szCs w:val="24"/>
                <w:highlight w:val="none"/>
                <w:lang w:val="en-US" w:eastAsia="zh-CN"/>
              </w:rPr>
              <w:t>05</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是否为省级以上</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重点（特色）专业</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本专业全日制</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在校生数（人）</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453</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本专业专任教师</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数（人）</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专任教师与全日制</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在校生人数之比</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rPr>
              <w:t>1:17</w:t>
            </w:r>
            <w:bookmarkStart w:id="5" w:name="_GoBack"/>
            <w:bookmarkEnd w:id="5"/>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高级职称专任教师</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rPr>
            </w:pPr>
            <w:r>
              <w:rPr>
                <w:rFonts w:hint="eastAsia" w:ascii="Times New Roman" w:hAnsi="Times New Roman" w:eastAsia="仿宋_GB2312" w:cs="Times New Roman"/>
                <w:sz w:val="24"/>
                <w:szCs w:val="24"/>
                <w:highlight w:val="none"/>
                <w:lang w:val="en-US" w:eastAsia="zh-CN"/>
              </w:rPr>
              <w:t>31.82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具有研究生学位</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专任教师比例（%）</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59.09</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具有博士研究生学位专任教师比例（%）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202</w:t>
            </w:r>
            <w:r>
              <w:rPr>
                <w:rFonts w:hint="eastAsia" w:ascii="Times New Roman" w:hAnsi="Times New Roman" w:eastAsia="仿宋_GB2312" w:cs="Times New Roman"/>
                <w:sz w:val="24"/>
                <w:szCs w:val="24"/>
                <w:highlight w:val="none"/>
              </w:rPr>
              <w:t>3</w:t>
            </w:r>
            <w:r>
              <w:rPr>
                <w:rFonts w:ascii="Times New Roman" w:hAnsi="Times New Roman" w:eastAsia="仿宋_GB2312" w:cs="Times New Roman"/>
                <w:sz w:val="24"/>
                <w:szCs w:val="24"/>
                <w:highlight w:val="none"/>
              </w:rPr>
              <w:t>年度面向行业企业和社会开展职业</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培训人次</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910</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202</w:t>
            </w:r>
            <w:r>
              <w:rPr>
                <w:rFonts w:hint="eastAsia" w:ascii="Times New Roman" w:hAnsi="Times New Roman" w:eastAsia="仿宋_GB2312" w:cs="Times New Roman"/>
                <w:sz w:val="24"/>
                <w:szCs w:val="24"/>
                <w:highlight w:val="none"/>
              </w:rPr>
              <w:t>3</w:t>
            </w:r>
            <w:r>
              <w:rPr>
                <w:rFonts w:ascii="Times New Roman" w:hAnsi="Times New Roman" w:eastAsia="仿宋_GB2312" w:cs="Times New Roman"/>
                <w:sz w:val="24"/>
                <w:szCs w:val="24"/>
                <w:highlight w:val="none"/>
              </w:rPr>
              <w:t>年度招生计划</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完成率（%）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202</w:t>
            </w:r>
            <w:r>
              <w:rPr>
                <w:rFonts w:hint="eastAsia" w:ascii="Times New Roman" w:hAnsi="Times New Roman" w:eastAsia="仿宋_GB2312" w:cs="Times New Roman"/>
                <w:sz w:val="24"/>
                <w:szCs w:val="24"/>
                <w:highlight w:val="none"/>
              </w:rPr>
              <w:t>3</w:t>
            </w:r>
            <w:r>
              <w:rPr>
                <w:rFonts w:ascii="Times New Roman" w:hAnsi="Times New Roman" w:eastAsia="仿宋_GB2312" w:cs="Times New Roman"/>
                <w:sz w:val="24"/>
                <w:szCs w:val="24"/>
                <w:highlight w:val="none"/>
              </w:rPr>
              <w:t>年度新生</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报到率（%）</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100</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202</w:t>
            </w:r>
            <w:r>
              <w:rPr>
                <w:rFonts w:hint="eastAsia" w:ascii="Times New Roman" w:hAnsi="Times New Roman" w:eastAsia="仿宋_GB2312" w:cs="Times New Roman"/>
                <w:sz w:val="24"/>
                <w:szCs w:val="24"/>
                <w:highlight w:val="none"/>
              </w:rPr>
              <w:t>3</w:t>
            </w:r>
            <w:r>
              <w:rPr>
                <w:rFonts w:ascii="Times New Roman" w:hAnsi="Times New Roman" w:eastAsia="仿宋_GB2312" w:cs="Times New Roman"/>
                <w:sz w:val="24"/>
                <w:szCs w:val="24"/>
                <w:highlight w:val="none"/>
              </w:rPr>
              <w:t>年度应届生</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就业率（%）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92.51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Align w:val="center"/>
          </w:tcPr>
          <w:p>
            <w:pPr>
              <w:snapToGrid w:val="0"/>
              <w:jc w:val="center"/>
              <w:rPr>
                <w:rFonts w:ascii="Times New Roman" w:hAnsi="Times New Roman" w:eastAsia="方正仿宋简体" w:cs="Times New Roman"/>
                <w:sz w:val="24"/>
                <w:szCs w:val="24"/>
                <w:highlight w:val="none"/>
              </w:rPr>
            </w:pPr>
            <w:r>
              <w:rPr>
                <w:rFonts w:ascii="Times New Roman" w:hAnsi="Times New Roman" w:eastAsia="仿宋_GB2312" w:cs="Times New Roman"/>
                <w:position w:val="6"/>
                <w:sz w:val="24"/>
                <w:szCs w:val="24"/>
                <w:highlight w:val="none"/>
              </w:rPr>
              <w:t>拟招生专业设置可行性</w:t>
            </w:r>
          </w:p>
        </w:tc>
        <w:tc>
          <w:tcPr>
            <w:tcW w:w="7844" w:type="dxa"/>
            <w:gridSpan w:val="4"/>
          </w:tcPr>
          <w:p>
            <w:pPr>
              <w:pStyle w:val="11"/>
              <w:numPr>
                <w:ilvl w:val="0"/>
                <w:numId w:val="0"/>
              </w:numPr>
              <w:snapToGrid w:val="0"/>
              <w:spacing w:before="156" w:beforeLines="50" w:after="156" w:afterLines="50"/>
              <w:ind w:left="560" w:leftChars="0"/>
              <w:jc w:val="left"/>
              <w:rPr>
                <w:rFonts w:ascii="黑体" w:hAnsi="黑体" w:eastAsia="黑体"/>
                <w:sz w:val="28"/>
                <w:szCs w:val="28"/>
                <w:highlight w:val="none"/>
              </w:rPr>
            </w:pPr>
            <w:r>
              <w:rPr>
                <w:rFonts w:hint="eastAsia" w:ascii="黑体" w:hAnsi="黑体" w:eastAsia="黑体"/>
                <w:sz w:val="28"/>
                <w:szCs w:val="28"/>
                <w:highlight w:val="none"/>
                <w:lang w:eastAsia="zh-CN"/>
              </w:rPr>
              <w:t>一、</w:t>
            </w:r>
            <w:r>
              <w:rPr>
                <w:rFonts w:hint="eastAsia" w:ascii="黑体" w:hAnsi="黑体" w:eastAsia="黑体"/>
                <w:sz w:val="28"/>
                <w:szCs w:val="28"/>
                <w:highlight w:val="none"/>
              </w:rPr>
              <w:t>行业企业调研分析</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据尚普咨询集团数据显示，2023年我国税务大数据产业市场规模将占全球的12%，位居世界第二。税收大数据透出经济发展新亮点。《中华人民共和国国民经济和社会发展第十四个五年规划和2035年远景目标纲要》指出要培育壮大大数据等新兴数字产业发展。</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2023年，金税四期金税在广东等六大省市的试点实施，意味着中国税收将充分运用大数据，实现金税三期的“以票治税”向金税四期的“以数治税，以数控税”的转变</w:t>
            </w:r>
            <w:r>
              <w:rPr>
                <w:rFonts w:hint="eastAsia" w:ascii="仿宋" w:hAnsi="仿宋" w:eastAsia="仿宋" w:cs="仿宋"/>
                <w:sz w:val="28"/>
                <w:szCs w:val="28"/>
                <w:highlight w:val="none"/>
                <w:lang w:eastAsia="zh-CN"/>
              </w:rPr>
              <w:t>。新</w:t>
            </w:r>
            <w:r>
              <w:rPr>
                <w:rFonts w:hint="eastAsia" w:ascii="仿宋" w:hAnsi="仿宋" w:eastAsia="仿宋" w:cs="仿宋"/>
                <w:sz w:val="28"/>
                <w:szCs w:val="28"/>
                <w:highlight w:val="none"/>
              </w:rPr>
              <w:t>的税收监管系统</w:t>
            </w:r>
            <w:r>
              <w:rPr>
                <w:rFonts w:hint="eastAsia" w:ascii="仿宋" w:hAnsi="仿宋" w:eastAsia="仿宋" w:cs="仿宋"/>
                <w:sz w:val="28"/>
                <w:szCs w:val="28"/>
                <w:highlight w:val="none"/>
                <w:lang w:eastAsia="zh-CN"/>
              </w:rPr>
              <w:t>对</w:t>
            </w:r>
            <w:r>
              <w:rPr>
                <w:rFonts w:hint="eastAsia" w:ascii="仿宋" w:hAnsi="仿宋" w:eastAsia="仿宋" w:cs="仿宋"/>
                <w:sz w:val="28"/>
                <w:szCs w:val="28"/>
                <w:highlight w:val="none"/>
              </w:rPr>
              <w:t>财税大数据应用人才</w:t>
            </w:r>
            <w:r>
              <w:rPr>
                <w:rFonts w:hint="eastAsia" w:ascii="仿宋" w:hAnsi="仿宋" w:eastAsia="仿宋" w:cs="仿宋"/>
                <w:sz w:val="28"/>
                <w:szCs w:val="28"/>
                <w:highlight w:val="none"/>
                <w:lang w:eastAsia="zh-CN"/>
              </w:rPr>
              <w:t>的</w:t>
            </w:r>
            <w:r>
              <w:rPr>
                <w:rFonts w:hint="eastAsia" w:ascii="仿宋" w:hAnsi="仿宋" w:eastAsia="仿宋" w:cs="仿宋"/>
                <w:sz w:val="28"/>
                <w:szCs w:val="28"/>
                <w:highlight w:val="none"/>
              </w:rPr>
              <w:t>需求将急剧飙升。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据人社部相关数据统计，预计2023年中国大数据行业的人才需求规模将达到250万,2025年前大数据人才需求仍将保持30%</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40%的增速,需求总量在3000万人左右。在国考招录税务人员数量上，2023年24985人，增幅高达24.93％。</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黑体" w:hAnsi="黑体" w:eastAsia="黑体"/>
                <w:sz w:val="28"/>
                <w:szCs w:val="28"/>
                <w:highlight w:val="none"/>
              </w:rPr>
            </w:pPr>
            <w:r>
              <w:rPr>
                <w:rFonts w:hint="eastAsia" w:ascii="黑体" w:hAnsi="黑体" w:eastAsia="黑体"/>
                <w:sz w:val="28"/>
                <w:szCs w:val="28"/>
                <w:highlight w:val="none"/>
              </w:rPr>
              <w:t>二、人才供给情况分析</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全国32所职业本科大学仅有2所（新疆天山、农职大）学校开设有该专业，广西直至2023年才开始布局财税大数据应用专业，2023年仅有广西农业职业技术大学1所院校开始招生，招生人数80人，远远满足不了区域性人才需要。</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黑体" w:hAnsi="黑体" w:eastAsia="黑体"/>
                <w:sz w:val="28"/>
                <w:szCs w:val="28"/>
                <w:highlight w:val="none"/>
              </w:rPr>
            </w:pPr>
            <w:r>
              <w:rPr>
                <w:rFonts w:hint="eastAsia" w:ascii="黑体" w:hAnsi="黑体" w:eastAsia="黑体"/>
                <w:sz w:val="28"/>
                <w:szCs w:val="28"/>
                <w:highlight w:val="none"/>
              </w:rPr>
              <w:t>三、办学基础和专业特色</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楷体" w:hAnsi="楷体" w:eastAsia="楷体" w:cs="仿宋"/>
                <w:sz w:val="28"/>
                <w:szCs w:val="28"/>
                <w:highlight w:val="none"/>
              </w:rPr>
            </w:pPr>
            <w:r>
              <w:rPr>
                <w:rFonts w:hint="eastAsia" w:ascii="楷体" w:hAnsi="楷体" w:eastAsia="楷体" w:cs="仿宋"/>
                <w:sz w:val="28"/>
                <w:szCs w:val="28"/>
                <w:highlight w:val="none"/>
              </w:rPr>
              <w:t>（一）办学基础良好</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财税大数据应用职业本科专业依托大数据与会计</w:t>
            </w:r>
            <w:r>
              <w:rPr>
                <w:rFonts w:hint="eastAsia" w:ascii="仿宋" w:hAnsi="仿宋" w:eastAsia="仿宋" w:cs="仿宋"/>
                <w:sz w:val="28"/>
                <w:szCs w:val="28"/>
                <w:highlight w:val="none"/>
                <w:lang w:eastAsia="zh-CN"/>
              </w:rPr>
              <w:t>（专科）</w:t>
            </w:r>
            <w:r>
              <w:rPr>
                <w:rFonts w:hint="eastAsia" w:ascii="仿宋" w:hAnsi="仿宋" w:eastAsia="仿宋" w:cs="仿宋"/>
                <w:sz w:val="28"/>
                <w:szCs w:val="28"/>
                <w:highlight w:val="none"/>
              </w:rPr>
              <w:t>专业设立，已建设有云财务综合管理实训室等校内实训基地，</w:t>
            </w:r>
            <w:r>
              <w:rPr>
                <w:rFonts w:hint="eastAsia" w:ascii="仿宋" w:hAnsi="仿宋" w:eastAsia="仿宋"/>
                <w:sz w:val="28"/>
                <w:szCs w:val="28"/>
                <w:highlight w:val="none"/>
              </w:rPr>
              <w:t>与广西投资集团有限公司等9家</w:t>
            </w:r>
            <w:r>
              <w:rPr>
                <w:rFonts w:hint="eastAsia" w:ascii="仿宋" w:hAnsi="仿宋" w:eastAsia="仿宋"/>
                <w:sz w:val="28"/>
                <w:szCs w:val="28"/>
                <w:highlight w:val="none"/>
                <w:lang w:eastAsia="zh-CN"/>
              </w:rPr>
              <w:t>企事业单位</w:t>
            </w:r>
            <w:r>
              <w:rPr>
                <w:rFonts w:hint="eastAsia" w:ascii="仿宋" w:hAnsi="仿宋" w:eastAsia="仿宋"/>
                <w:sz w:val="28"/>
                <w:szCs w:val="28"/>
                <w:highlight w:val="none"/>
              </w:rPr>
              <w:t>建立了稳定校企、</w:t>
            </w:r>
            <w:r>
              <w:rPr>
                <w:rFonts w:hint="eastAsia" w:ascii="仿宋" w:hAnsi="仿宋" w:eastAsia="仿宋"/>
                <w:sz w:val="28"/>
                <w:szCs w:val="28"/>
                <w:highlight w:val="none"/>
                <w:lang w:eastAsia="zh-CN"/>
              </w:rPr>
              <w:t>校政</w:t>
            </w:r>
            <w:r>
              <w:rPr>
                <w:rFonts w:hint="eastAsia" w:ascii="仿宋" w:hAnsi="仿宋" w:eastAsia="仿宋"/>
                <w:sz w:val="28"/>
                <w:szCs w:val="28"/>
                <w:highlight w:val="none"/>
              </w:rPr>
              <w:t>合作关系。</w:t>
            </w:r>
            <w:r>
              <w:rPr>
                <w:rFonts w:hint="eastAsia" w:ascii="仿宋" w:hAnsi="仿宋" w:eastAsia="仿宋" w:cs="仿宋"/>
                <w:sz w:val="28"/>
                <w:szCs w:val="28"/>
                <w:highlight w:val="none"/>
              </w:rPr>
              <w:t>依托专业招生计划完成率均为100%，新生报到率</w:t>
            </w:r>
            <w:r>
              <w:rPr>
                <w:rFonts w:hint="eastAsia" w:ascii="仿宋" w:hAnsi="仿宋" w:eastAsia="仿宋" w:cs="仿宋"/>
                <w:sz w:val="28"/>
                <w:szCs w:val="28"/>
                <w:highlight w:val="none"/>
                <w:lang w:val="en-US" w:eastAsia="zh-CN"/>
              </w:rPr>
              <w:t>100</w:t>
            </w:r>
            <w:r>
              <w:rPr>
                <w:rFonts w:ascii="仿宋" w:hAnsi="仿宋" w:eastAsia="仿宋" w:cs="仿宋"/>
                <w:sz w:val="28"/>
                <w:szCs w:val="28"/>
                <w:highlight w:val="none"/>
              </w:rPr>
              <w:t>%</w:t>
            </w:r>
            <w:r>
              <w:rPr>
                <w:rFonts w:hint="eastAsia" w:ascii="仿宋" w:hAnsi="仿宋" w:eastAsia="仿宋" w:cs="仿宋"/>
                <w:sz w:val="28"/>
                <w:szCs w:val="28"/>
                <w:highlight w:val="none"/>
              </w:rPr>
              <w:t>。社会、企业对我校大数据与会计专业毕业生的满意度</w:t>
            </w:r>
            <w:r>
              <w:rPr>
                <w:rFonts w:hint="eastAsia" w:ascii="仿宋" w:hAnsi="仿宋" w:eastAsia="仿宋" w:cs="仿宋"/>
                <w:sz w:val="28"/>
                <w:szCs w:val="28"/>
                <w:highlight w:val="none"/>
                <w:lang w:eastAsia="zh-CN"/>
              </w:rPr>
              <w:t>及</w:t>
            </w:r>
            <w:r>
              <w:rPr>
                <w:rFonts w:hint="eastAsia" w:ascii="仿宋" w:hAnsi="仿宋" w:eastAsia="仿宋" w:cs="仿宋"/>
                <w:sz w:val="28"/>
                <w:szCs w:val="28"/>
                <w:highlight w:val="none"/>
              </w:rPr>
              <w:t>毕业生对专业满意度较高。</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楷体" w:hAnsi="楷体" w:eastAsia="楷体"/>
                <w:sz w:val="28"/>
                <w:szCs w:val="28"/>
                <w:highlight w:val="none"/>
              </w:rPr>
            </w:pPr>
            <w:r>
              <w:rPr>
                <w:rFonts w:hint="eastAsia" w:ascii="楷体" w:hAnsi="楷体" w:eastAsia="楷体"/>
                <w:sz w:val="28"/>
                <w:szCs w:val="28"/>
                <w:highlight w:val="none"/>
              </w:rPr>
              <w:t>（二）专业特色鲜明</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本专业培养德智体美劳全面发展，具备大数据思维和大数据工具应用能力、财税业务核算与管理能力及智能化财税技术开发与应用等能力，熟悉我国财税政策法规、基础理论扎实、国际税收实务操作能力</w:t>
            </w:r>
            <w:r>
              <w:rPr>
                <w:rFonts w:hint="eastAsia" w:ascii="仿宋" w:hAnsi="仿宋" w:eastAsia="仿宋" w:cs="仿宋"/>
                <w:sz w:val="28"/>
                <w:szCs w:val="28"/>
                <w:highlight w:val="none"/>
                <w:lang w:val="en-US" w:eastAsia="zh-CN"/>
              </w:rPr>
              <w:t>强</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具有为国聚财的家国情怀、使命担当和精益求精的工匠精神，能够从事财税核算、财税管理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财税数据分析、跨境交易税收管理（涉外税务）等相关工作的高层次技术技能人才。</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黑体" w:hAnsi="黑体" w:eastAsia="黑体"/>
                <w:sz w:val="28"/>
                <w:szCs w:val="28"/>
                <w:highlight w:val="none"/>
              </w:rPr>
            </w:pPr>
            <w:r>
              <w:rPr>
                <w:rFonts w:hint="eastAsia" w:ascii="黑体" w:hAnsi="黑体" w:eastAsia="黑体"/>
                <w:sz w:val="28"/>
                <w:szCs w:val="28"/>
                <w:highlight w:val="none"/>
              </w:rPr>
              <w:t>四、保障措施及相关制度</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sz w:val="28"/>
                <w:szCs w:val="28"/>
                <w:highlight w:val="none"/>
              </w:rPr>
            </w:pPr>
            <w:r>
              <w:rPr>
                <w:rFonts w:hint="eastAsia" w:ascii="仿宋" w:hAnsi="仿宋" w:eastAsia="仿宋"/>
                <w:sz w:val="28"/>
                <w:szCs w:val="28"/>
                <w:highlight w:val="none"/>
              </w:rPr>
              <w:t>学校专门成立职业本科专业建设领导小组，并建立专业建设工作组，指定责任人和带头人，建立健全财税大数据应用专业建设经费投入机制，制定专项预算，专款专用，确保专业建设资金需求。</w:t>
            </w:r>
            <w:r>
              <w:rPr>
                <w:rFonts w:ascii="仿宋" w:hAnsi="仿宋" w:eastAsia="仿宋"/>
                <w:sz w:val="28"/>
                <w:szCs w:val="28"/>
                <w:highlight w:val="none"/>
              </w:rPr>
              <w:t>为确保教学计划各个环节的整体性、科学性、规范性，学校建立了一套完整、科学的教学管理规章制度和监控体系。为专业建设工作的有效开展</w:t>
            </w:r>
            <w:r>
              <w:rPr>
                <w:rFonts w:hint="eastAsia" w:ascii="仿宋" w:hAnsi="仿宋" w:eastAsia="仿宋"/>
                <w:sz w:val="28"/>
                <w:szCs w:val="28"/>
                <w:highlight w:val="none"/>
              </w:rPr>
              <w:t>，质量提高</w:t>
            </w:r>
            <w:r>
              <w:rPr>
                <w:rFonts w:ascii="仿宋" w:hAnsi="仿宋" w:eastAsia="仿宋"/>
                <w:sz w:val="28"/>
                <w:szCs w:val="28"/>
                <w:highlight w:val="none"/>
              </w:rPr>
              <w:t>提供制度保障</w:t>
            </w:r>
            <w:r>
              <w:rPr>
                <w:rFonts w:hint="eastAsia" w:ascii="仿宋" w:hAnsi="仿宋" w:eastAsia="仿宋"/>
                <w:sz w:val="28"/>
                <w:szCs w:val="28"/>
                <w:highlight w:val="none"/>
              </w:rPr>
              <w:t>。</w:t>
            </w:r>
          </w:p>
          <w:p>
            <w:pPr>
              <w:pStyle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教师队伍</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情况要点</w:t>
            </w:r>
          </w:p>
        </w:tc>
        <w:tc>
          <w:tcPr>
            <w:tcW w:w="7844" w:type="dxa"/>
            <w:gridSpan w:val="4"/>
          </w:tcPr>
          <w:p>
            <w:pPr>
              <w:keepNext w:val="0"/>
              <w:keepLines w:val="0"/>
              <w:pageBreakBefore w:val="0"/>
              <w:widowControl w:val="0"/>
              <w:kinsoku/>
              <w:wordWrap w:val="0"/>
              <w:overflowPunct/>
              <w:topLinePunct w:val="0"/>
              <w:autoSpaceDE/>
              <w:autoSpaceDN/>
              <w:bidi w:val="0"/>
              <w:adjustRightInd/>
              <w:snapToGrid w:val="0"/>
              <w:spacing w:line="560" w:lineRule="exact"/>
              <w:ind w:firstLine="560" w:firstLineChars="200"/>
              <w:jc w:val="left"/>
              <w:textAlignment w:val="auto"/>
              <w:rPr>
                <w:rFonts w:ascii="仿宋" w:hAnsi="仿宋" w:eastAsia="仿宋"/>
                <w:sz w:val="28"/>
                <w:szCs w:val="28"/>
                <w:highlight w:val="none"/>
              </w:rPr>
            </w:pPr>
            <w:bookmarkStart w:id="0" w:name="_Hlk66403872"/>
            <w:r>
              <w:rPr>
                <w:rFonts w:hint="eastAsia" w:ascii="仿宋" w:hAnsi="仿宋" w:eastAsia="仿宋"/>
                <w:sz w:val="28"/>
                <w:szCs w:val="28"/>
                <w:highlight w:val="none"/>
              </w:rPr>
              <w:t>该专业专任教师</w:t>
            </w:r>
            <w:r>
              <w:rPr>
                <w:rFonts w:hint="eastAsia" w:ascii="仿宋" w:hAnsi="仿宋" w:eastAsia="仿宋"/>
                <w:sz w:val="28"/>
                <w:szCs w:val="28"/>
                <w:highlight w:val="none"/>
                <w:lang w:val="en-US" w:eastAsia="zh-CN"/>
              </w:rPr>
              <w:t>26</w:t>
            </w:r>
            <w:r>
              <w:rPr>
                <w:rFonts w:hint="eastAsia" w:ascii="仿宋" w:hAnsi="仿宋" w:eastAsia="仿宋"/>
                <w:sz w:val="28"/>
                <w:szCs w:val="28"/>
                <w:highlight w:val="none"/>
              </w:rPr>
              <w:t>人，兼职教师8人，高级职称专任教师比例为</w:t>
            </w:r>
            <w:r>
              <w:rPr>
                <w:rFonts w:hint="eastAsia" w:ascii="仿宋" w:hAnsi="仿宋" w:eastAsia="仿宋"/>
                <w:sz w:val="28"/>
                <w:szCs w:val="28"/>
                <w:highlight w:val="none"/>
                <w:lang w:val="en-US" w:eastAsia="zh-CN"/>
              </w:rPr>
              <w:t>31.82</w:t>
            </w:r>
            <w:r>
              <w:rPr>
                <w:rFonts w:hint="eastAsia" w:ascii="仿宋" w:hAnsi="仿宋" w:eastAsia="仿宋"/>
                <w:sz w:val="28"/>
                <w:szCs w:val="28"/>
                <w:highlight w:val="none"/>
              </w:rPr>
              <w:t>%，具有研究生学位专任教师比例59.09%，具有博士研究生学位专任教师比例18.18</w:t>
            </w:r>
            <w:r>
              <w:rPr>
                <w:rFonts w:ascii="仿宋" w:hAnsi="仿宋" w:eastAsia="仿宋"/>
                <w:sz w:val="28"/>
                <w:szCs w:val="28"/>
                <w:highlight w:val="none"/>
              </w:rPr>
              <w:t>%</w:t>
            </w:r>
            <w:r>
              <w:rPr>
                <w:rFonts w:hint="eastAsia" w:ascii="仿宋" w:hAnsi="仿宋" w:eastAsia="仿宋"/>
                <w:sz w:val="28"/>
                <w:szCs w:val="28"/>
                <w:highlight w:val="none"/>
              </w:rPr>
              <w:t>，“双师型”教师占比</w:t>
            </w:r>
            <w:r>
              <w:rPr>
                <w:rFonts w:hint="eastAsia" w:ascii="仿宋" w:hAnsi="仿宋" w:eastAsia="仿宋"/>
                <w:sz w:val="28"/>
                <w:szCs w:val="28"/>
                <w:highlight w:val="none"/>
                <w:lang w:val="en-US" w:eastAsia="zh-CN"/>
              </w:rPr>
              <w:t>54.55</w:t>
            </w:r>
            <w:r>
              <w:rPr>
                <w:rFonts w:hint="eastAsia" w:ascii="仿宋" w:hAnsi="仿宋" w:eastAsia="仿宋"/>
                <w:sz w:val="28"/>
                <w:szCs w:val="28"/>
                <w:highlight w:val="none"/>
              </w:rPr>
              <w:t>%。来自行业企业一线的兼职教师有实质性专业教学任务，其所承担的专业课教学任务授课课时占专业课总课时的20.39%。</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财税大数据应用本科专业带头人之一宾明珍，副教授、中国注册会计师、会计师、经济师，有4年的会计师事务所执业经历，是自治区专家库成员，长期受聘为区内各行各业从事财税培训和指导工作，有丰富的财税实践经验。从教28年，</w:t>
            </w:r>
            <w:r>
              <w:rPr>
                <w:rFonts w:ascii="仿宋" w:hAnsi="仿宋" w:eastAsia="仿宋"/>
                <w:sz w:val="28"/>
                <w:szCs w:val="28"/>
                <w:highlight w:val="none"/>
              </w:rPr>
              <w:t>多次组织</w:t>
            </w:r>
            <w:r>
              <w:rPr>
                <w:rFonts w:hint="eastAsia" w:ascii="仿宋" w:hAnsi="仿宋" w:eastAsia="仿宋"/>
                <w:sz w:val="28"/>
                <w:szCs w:val="28"/>
                <w:highlight w:val="none"/>
              </w:rPr>
              <w:t>任教</w:t>
            </w:r>
            <w:r>
              <w:rPr>
                <w:rFonts w:ascii="仿宋" w:hAnsi="仿宋" w:eastAsia="仿宋"/>
                <w:sz w:val="28"/>
                <w:szCs w:val="28"/>
                <w:highlight w:val="none"/>
              </w:rPr>
              <w:t>专业顺利通过自治区级示范专业复评和国家改革发展示范校重点建设专业验收评估，2011年组织建设的会计综合实训室获得自治区授予“示范性实习基地“称号，有丰富的专业建设经验。</w:t>
            </w:r>
            <w:r>
              <w:rPr>
                <w:rFonts w:hint="eastAsia" w:ascii="仿宋" w:hAnsi="仿宋" w:eastAsia="仿宋"/>
                <w:sz w:val="28"/>
                <w:szCs w:val="28"/>
                <w:highlight w:val="none"/>
              </w:rPr>
              <w:t>科研成果、教学方法、学生管理共获得市厅级奖项12项。教学经验丰富，科研技术能力强，</w:t>
            </w:r>
            <w:r>
              <w:rPr>
                <w:rFonts w:hint="eastAsia" w:ascii="仿宋" w:hAnsi="仿宋" w:eastAsia="仿宋"/>
                <w:sz w:val="28"/>
                <w:szCs w:val="28"/>
                <w:highlight w:val="none"/>
                <w:lang w:eastAsia="zh-CN"/>
              </w:rPr>
              <w:t>符合专业</w:t>
            </w:r>
            <w:r>
              <w:rPr>
                <w:rFonts w:hint="eastAsia" w:ascii="仿宋" w:hAnsi="仿宋" w:eastAsia="仿宋"/>
                <w:sz w:val="28"/>
                <w:szCs w:val="28"/>
                <w:highlight w:val="none"/>
              </w:rPr>
              <w:t>带头</w:t>
            </w:r>
            <w:r>
              <w:rPr>
                <w:rFonts w:hint="eastAsia" w:ascii="仿宋" w:hAnsi="仿宋" w:eastAsia="仿宋"/>
                <w:sz w:val="28"/>
                <w:szCs w:val="28"/>
                <w:highlight w:val="none"/>
                <w:lang w:eastAsia="zh-CN"/>
              </w:rPr>
              <w:t>人要求</w:t>
            </w:r>
            <w:r>
              <w:rPr>
                <w:rFonts w:hint="eastAsia" w:ascii="仿宋" w:hAnsi="仿宋" w:eastAsia="仿宋"/>
                <w:sz w:val="28"/>
                <w:szCs w:val="28"/>
                <w:highlight w:val="none"/>
              </w:rPr>
              <w:t>。</w:t>
            </w:r>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专业带头人之二赵春梅，高级会计师，在国有大型商业银行任管理岗位，从业20多年，具备银行业务核算、稽核、结算、银行从业人员培训经验，工作经验丰富，期间主要组织制定了一系列会计核算管理办法；组织完成公司上市财会业务处理工作；组织完成各年度会计决算及毕马威等外部审计师事务所对上市公司的审计工作；组织银行资金清算系统、会计核算系统、会计稽核系统、经费共享中心ERP系统上线运行工作；组织实施银行信贷、财会以及单位管理人员离任审计等。</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ascii="Times New Roman" w:hAnsi="Times New Roman" w:eastAsia="方正仿宋简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专业人才</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培养方案要点</w:t>
            </w:r>
          </w:p>
        </w:tc>
        <w:tc>
          <w:tcPr>
            <w:tcW w:w="7844" w:type="dxa"/>
            <w:gridSpan w:val="4"/>
          </w:tcPr>
          <w:p>
            <w:pPr>
              <w:pStyle w:val="11"/>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560" w:leftChars="0"/>
              <w:jc w:val="left"/>
              <w:textAlignment w:val="auto"/>
              <w:rPr>
                <w:rFonts w:ascii="黑体" w:hAnsi="黑体" w:eastAsia="黑体"/>
                <w:sz w:val="28"/>
                <w:szCs w:val="28"/>
                <w:highlight w:val="none"/>
              </w:rPr>
            </w:pPr>
            <w:r>
              <w:rPr>
                <w:rFonts w:hint="eastAsia" w:ascii="黑体" w:hAnsi="黑体" w:eastAsia="黑体"/>
                <w:sz w:val="28"/>
                <w:szCs w:val="28"/>
                <w:highlight w:val="none"/>
                <w:lang w:eastAsia="zh-CN"/>
              </w:rPr>
              <w:t>一、</w:t>
            </w:r>
            <w:r>
              <w:rPr>
                <w:rFonts w:hint="eastAsia" w:ascii="黑体" w:hAnsi="黑体" w:eastAsia="黑体"/>
                <w:sz w:val="28"/>
                <w:szCs w:val="28"/>
                <w:highlight w:val="none"/>
              </w:rPr>
              <w:t>专业定位</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立足广西、面向全国，对接东盟，培养德智体美劳全面发展，掌握扎实的科学文化基础和系统的经济管理、财政税收、财务会计、业财管理与大数据等知识，具备大数据思维和大数据工具应用能力、财税业务核算与管理能力及智能化财税技术开发与应用等能力，熟悉我国财税政策法规、税收基础理论扎实、国际税收实务操作能力</w:t>
            </w:r>
            <w:r>
              <w:rPr>
                <w:rFonts w:hint="eastAsia" w:ascii="仿宋" w:hAnsi="仿宋" w:eastAsia="仿宋"/>
                <w:sz w:val="28"/>
                <w:szCs w:val="28"/>
                <w:highlight w:val="none"/>
                <w:lang w:val="en-US" w:eastAsia="zh-CN"/>
              </w:rPr>
              <w:t>强</w:t>
            </w:r>
            <w:r>
              <w:rPr>
                <w:rFonts w:hint="eastAsia" w:ascii="仿宋" w:hAnsi="仿宋" w:eastAsia="仿宋"/>
                <w:sz w:val="28"/>
                <w:szCs w:val="28"/>
                <w:highlight w:val="none"/>
                <w:lang w:eastAsia="zh-CN"/>
              </w:rPr>
              <w:t>，</w:t>
            </w:r>
            <w:r>
              <w:rPr>
                <w:rFonts w:hint="eastAsia" w:ascii="仿宋" w:hAnsi="仿宋" w:eastAsia="仿宋"/>
                <w:sz w:val="28"/>
                <w:szCs w:val="28"/>
                <w:highlight w:val="none"/>
              </w:rPr>
              <w:t>具有为国聚财的家国情怀、使命担当和精益求精的工匠精神，能够从事财税核算、财税管理、纳税检查与鉴证、纳税筹划、财税共享服务、政府会计、财税数据分析、跨境交易税收管理（涉外税务）等相关工作的高层次技术技能人才。</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highlight w:val="none"/>
              </w:rPr>
            </w:pPr>
            <w:r>
              <w:rPr>
                <w:rFonts w:hint="eastAsia" w:ascii="仿宋" w:hAnsi="仿宋" w:eastAsia="仿宋"/>
                <w:sz w:val="28"/>
                <w:szCs w:val="28"/>
                <w:highlight w:val="none"/>
              </w:rPr>
              <w:t>面向区域经济，围绕生产领域较复杂问题和复杂技能操作开展培养，突出知识与技能的更高水平与更高层次，为加快推动广西金融改革创新发展和打造面向东盟金融开放门户提供坚强的人才保证和智力支持，培养定位合理，符合区域金融发展的要求。</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560" w:leftChars="0"/>
              <w:jc w:val="left"/>
              <w:textAlignment w:val="auto"/>
              <w:rPr>
                <w:rFonts w:ascii="黑体" w:hAnsi="黑体" w:eastAsia="黑体"/>
                <w:sz w:val="28"/>
                <w:szCs w:val="28"/>
                <w:highlight w:val="none"/>
              </w:rPr>
            </w:pPr>
            <w:r>
              <w:rPr>
                <w:rFonts w:hint="eastAsia" w:ascii="黑体" w:hAnsi="黑体" w:eastAsia="黑体"/>
                <w:sz w:val="28"/>
                <w:szCs w:val="28"/>
                <w:highlight w:val="none"/>
                <w:lang w:eastAsia="zh-CN"/>
              </w:rPr>
              <w:t>二、</w:t>
            </w:r>
            <w:r>
              <w:rPr>
                <w:rFonts w:hint="eastAsia" w:ascii="黑体" w:hAnsi="黑体" w:eastAsia="黑体"/>
                <w:sz w:val="28"/>
                <w:szCs w:val="28"/>
                <w:highlight w:val="none"/>
              </w:rPr>
              <w:t>职业面向</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本专业毕业生就业岗位主要是</w:t>
            </w:r>
            <w:r>
              <w:rPr>
                <w:rFonts w:hint="eastAsia" w:ascii="仿宋" w:hAnsi="仿宋" w:eastAsia="仿宋"/>
                <w:sz w:val="28"/>
                <w:szCs w:val="28"/>
                <w:highlight w:val="none"/>
                <w:lang w:val="en-US" w:eastAsia="zh-CN"/>
              </w:rPr>
              <w:t>面向企事业单位财税核算与管理、财税代理与共享服务、财税顾问与决策咨询、政府财税收支核算与管理、财税大数据系统及财税机器人应用与开发</w:t>
            </w:r>
            <w:r>
              <w:rPr>
                <w:rFonts w:hint="eastAsia" w:ascii="仿宋" w:hAnsi="仿宋" w:eastAsia="仿宋"/>
                <w:sz w:val="28"/>
                <w:szCs w:val="28"/>
                <w:highlight w:val="none"/>
              </w:rPr>
              <w:t>等职业岗位人员。主要有财务分析师、税务筹划师、财务管理师、数据分析师、信息系统分析师等，从事税务、会计、审计等方面的工作，也可以选择自主创业，开发财税大数据应用软件等。</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560" w:leftChars="0"/>
              <w:jc w:val="left"/>
              <w:textAlignment w:val="auto"/>
              <w:rPr>
                <w:rFonts w:ascii="黑体" w:hAnsi="黑体" w:eastAsia="黑体"/>
                <w:sz w:val="28"/>
                <w:szCs w:val="28"/>
                <w:highlight w:val="none"/>
              </w:rPr>
            </w:pPr>
            <w:r>
              <w:rPr>
                <w:rFonts w:hint="eastAsia" w:ascii="黑体" w:hAnsi="黑体" w:eastAsia="黑体"/>
                <w:sz w:val="28"/>
                <w:szCs w:val="28"/>
                <w:highlight w:val="none"/>
                <w:lang w:eastAsia="zh-CN"/>
              </w:rPr>
              <w:t>三、</w:t>
            </w:r>
            <w:r>
              <w:rPr>
                <w:rFonts w:hint="eastAsia" w:ascii="黑体" w:hAnsi="黑体" w:eastAsia="黑体"/>
                <w:sz w:val="28"/>
                <w:szCs w:val="28"/>
                <w:highlight w:val="none"/>
              </w:rPr>
              <w:t>课程体系</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课程体系设置是以毕业生职业岗位群典型工作任务为目标，以典型工作流程为导向，分解职业岗位群的工作任务及工作能力需求，将岗位任务和能力需求分解为不同阶段的若干个职业能力模块，以此确定学习的专业领域，开发本专业课程体系。专业课程分为职业素质教育平台课程、职业能力教育平台课程、实践教学平台三个模块。</w:t>
            </w:r>
            <w:r>
              <w:rPr>
                <w:rFonts w:hint="eastAsia" w:ascii="仿宋" w:hAnsi="仿宋" w:eastAsia="仿宋"/>
                <w:sz w:val="28"/>
                <w:szCs w:val="28"/>
                <w:highlight w:val="none"/>
                <w:lang w:eastAsia="zh-CN"/>
              </w:rPr>
              <w:t>主要核心课程有</w:t>
            </w:r>
            <w:r>
              <w:rPr>
                <w:rFonts w:hint="eastAsia" w:ascii="仿宋" w:hAnsi="仿宋" w:eastAsia="仿宋"/>
                <w:sz w:val="28"/>
                <w:szCs w:val="28"/>
                <w:highlight w:val="none"/>
              </w:rPr>
              <w:t>企业财税顾问</w:t>
            </w:r>
            <w:r>
              <w:rPr>
                <w:rFonts w:hint="eastAsia" w:ascii="仿宋" w:hAnsi="仿宋" w:eastAsia="仿宋"/>
                <w:sz w:val="28"/>
                <w:szCs w:val="28"/>
                <w:highlight w:val="none"/>
                <w:lang w:eastAsia="zh-CN"/>
              </w:rPr>
              <w:t>、</w:t>
            </w:r>
            <w:r>
              <w:rPr>
                <w:rFonts w:hint="eastAsia" w:ascii="仿宋" w:hAnsi="仿宋" w:eastAsia="仿宋"/>
                <w:sz w:val="28"/>
                <w:szCs w:val="28"/>
                <w:highlight w:val="none"/>
              </w:rPr>
              <w:t>财税大数据分析</w:t>
            </w:r>
            <w:r>
              <w:rPr>
                <w:rFonts w:hint="eastAsia" w:ascii="仿宋" w:hAnsi="仿宋" w:eastAsia="仿宋"/>
                <w:sz w:val="28"/>
                <w:szCs w:val="28"/>
                <w:highlight w:val="none"/>
                <w:lang w:eastAsia="zh-CN"/>
              </w:rPr>
              <w:t>、</w:t>
            </w:r>
            <w:r>
              <w:rPr>
                <w:rFonts w:hint="eastAsia" w:ascii="仿宋" w:hAnsi="仿宋" w:eastAsia="仿宋"/>
                <w:sz w:val="28"/>
                <w:szCs w:val="28"/>
                <w:highlight w:val="none"/>
              </w:rPr>
              <w:t>智能化税务管理</w:t>
            </w:r>
            <w:r>
              <w:rPr>
                <w:rFonts w:hint="eastAsia" w:ascii="仿宋" w:hAnsi="仿宋" w:eastAsia="仿宋"/>
                <w:sz w:val="28"/>
                <w:szCs w:val="28"/>
                <w:highlight w:val="none"/>
                <w:lang w:eastAsia="zh-CN"/>
              </w:rPr>
              <w:t>、</w:t>
            </w:r>
            <w:r>
              <w:rPr>
                <w:rFonts w:hint="eastAsia" w:ascii="仿宋" w:hAnsi="仿宋" w:eastAsia="仿宋"/>
                <w:sz w:val="28"/>
                <w:szCs w:val="28"/>
                <w:highlight w:val="none"/>
              </w:rPr>
              <w:t>智能化税务会计</w:t>
            </w:r>
            <w:r>
              <w:rPr>
                <w:rFonts w:hint="eastAsia" w:ascii="仿宋" w:hAnsi="仿宋" w:eastAsia="仿宋"/>
                <w:sz w:val="28"/>
                <w:szCs w:val="28"/>
                <w:highlight w:val="none"/>
                <w:lang w:eastAsia="zh-CN"/>
              </w:rPr>
              <w:t>、</w:t>
            </w:r>
            <w:r>
              <w:rPr>
                <w:rFonts w:hint="eastAsia" w:ascii="仿宋" w:hAnsi="仿宋" w:eastAsia="仿宋"/>
                <w:sz w:val="28"/>
                <w:szCs w:val="28"/>
                <w:highlight w:val="none"/>
              </w:rPr>
              <w:t>国际税收</w:t>
            </w:r>
            <w:r>
              <w:rPr>
                <w:rFonts w:hint="eastAsia" w:ascii="仿宋" w:hAnsi="仿宋" w:eastAsia="仿宋"/>
                <w:sz w:val="28"/>
                <w:szCs w:val="28"/>
                <w:highlight w:val="none"/>
                <w:lang w:eastAsia="zh-CN"/>
              </w:rPr>
              <w:t>等。</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黑体" w:hAnsi="黑体" w:eastAsia="黑体"/>
                <w:sz w:val="28"/>
                <w:szCs w:val="28"/>
                <w:highlight w:val="none"/>
              </w:rPr>
            </w:pPr>
            <w:r>
              <w:rPr>
                <w:rFonts w:hint="eastAsia" w:ascii="黑体" w:hAnsi="黑体" w:eastAsia="黑体"/>
                <w:sz w:val="28"/>
                <w:szCs w:val="28"/>
                <w:highlight w:val="none"/>
              </w:rPr>
              <w:t>四、人才培养模式</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sz w:val="28"/>
                <w:szCs w:val="28"/>
                <w:highlight w:val="none"/>
              </w:rPr>
            </w:pPr>
            <w:bookmarkStart w:id="1" w:name="_Toc12292"/>
            <w:bookmarkStart w:id="2" w:name="_Toc85664710"/>
            <w:bookmarkStart w:id="3" w:name="_Toc85788306"/>
            <w:bookmarkStart w:id="4" w:name="_Toc85800119"/>
            <w:r>
              <w:rPr>
                <w:rFonts w:hint="eastAsia" w:ascii="仿宋" w:hAnsi="仿宋" w:eastAsia="仿宋"/>
                <w:sz w:val="28"/>
                <w:szCs w:val="28"/>
                <w:highlight w:val="none"/>
              </w:rPr>
              <w:t>构建数智化“业税财”融合人才培养模式。数智化“业税财”融合人才培养模式，以满足社会需求为理念，顺应“数智化”时代财税人才的转型趋势，根据我国财税行业“业税财”融合的现实要求，以财税大数据应用工作为依据，通过开展“三教改革“、重构课程标准、推进产教融合协同育人，运用当代数字技术例如与计算、大数据、人工智能等，培养社会紧缺人才。</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Times New Roman" w:hAnsi="Times New Roman" w:eastAsia="方正仿宋简体" w:cs="Times New Roman"/>
                <w:sz w:val="18"/>
                <w:szCs w:val="18"/>
                <w:highlight w:val="none"/>
              </w:rPr>
            </w:pPr>
            <w:r>
              <w:rPr>
                <w:rFonts w:hint="eastAsia" w:ascii="仿宋" w:hAnsi="仿宋" w:eastAsia="仿宋"/>
                <w:sz w:val="28"/>
                <w:szCs w:val="28"/>
                <w:highlight w:val="none"/>
              </w:rPr>
              <w:t>推进校企深度合作、产教融合，企业直接参与到制定教学计划和实行教学考核等活动中，把企业的真实项目引入到人才的培养中，全面推行案例教学、项目教学等，实践性教学课时占总课时的比例达到5</w:t>
            </w:r>
            <w:r>
              <w:rPr>
                <w:rFonts w:ascii="仿宋" w:hAnsi="仿宋" w:eastAsia="仿宋"/>
                <w:sz w:val="28"/>
                <w:szCs w:val="28"/>
                <w:highlight w:val="none"/>
              </w:rPr>
              <w:t>1.</w:t>
            </w:r>
            <w:r>
              <w:rPr>
                <w:rFonts w:hint="eastAsia" w:ascii="仿宋" w:hAnsi="仿宋" w:eastAsia="仿宋"/>
                <w:sz w:val="28"/>
                <w:szCs w:val="28"/>
                <w:highlight w:val="none"/>
                <w:lang w:val="en-US" w:eastAsia="zh-CN"/>
              </w:rPr>
              <w:t>70</w:t>
            </w:r>
            <w:r>
              <w:rPr>
                <w:rFonts w:hint="eastAsia" w:ascii="仿宋" w:hAnsi="仿宋" w:eastAsia="仿宋"/>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办学条件概要</w:t>
            </w:r>
          </w:p>
        </w:tc>
        <w:tc>
          <w:tcPr>
            <w:tcW w:w="7844" w:type="dxa"/>
            <w:gridSpan w:val="4"/>
          </w:tcPr>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黑体" w:hAnsi="黑体" w:eastAsia="黑体"/>
                <w:sz w:val="28"/>
                <w:szCs w:val="28"/>
                <w:highlight w:val="none"/>
              </w:rPr>
            </w:pPr>
            <w:r>
              <w:rPr>
                <w:rFonts w:hint="eastAsia" w:ascii="黑体" w:hAnsi="黑体" w:eastAsia="黑体"/>
                <w:sz w:val="28"/>
                <w:szCs w:val="28"/>
                <w:highlight w:val="none"/>
              </w:rPr>
              <w:t>一、具备开办专业所需的实习实训场所</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依托专业组建了</w:t>
            </w:r>
            <w:r>
              <w:rPr>
                <w:rFonts w:hint="eastAsia" w:ascii="仿宋" w:hAnsi="仿宋" w:eastAsia="仿宋" w:cs="仿宋"/>
                <w:sz w:val="28"/>
                <w:szCs w:val="28"/>
                <w:highlight w:val="none"/>
              </w:rPr>
              <w:t>云财务综合管理实训室、数智企业经营管理模拟实训室、云财务会计岗位综合实训室</w:t>
            </w:r>
            <w:r>
              <w:rPr>
                <w:rFonts w:hint="eastAsia" w:ascii="仿宋" w:hAnsi="仿宋" w:eastAsia="仿宋"/>
                <w:sz w:val="28"/>
                <w:szCs w:val="28"/>
                <w:highlight w:val="none"/>
              </w:rPr>
              <w:t>等校内实训室，教学科研仪器设备资产总值</w:t>
            </w:r>
            <w:r>
              <w:rPr>
                <w:rFonts w:hint="eastAsia" w:ascii="仿宋" w:hAnsi="仿宋" w:eastAsia="仿宋"/>
                <w:sz w:val="28"/>
                <w:szCs w:val="28"/>
                <w:highlight w:val="none"/>
                <w:lang w:val="en-US" w:eastAsia="zh-CN"/>
              </w:rPr>
              <w:t>690.8434</w:t>
            </w:r>
            <w:r>
              <w:rPr>
                <w:rFonts w:hint="eastAsia" w:ascii="仿宋" w:hAnsi="仿宋" w:eastAsia="仿宋"/>
                <w:sz w:val="28"/>
                <w:szCs w:val="28"/>
                <w:highlight w:val="none"/>
              </w:rPr>
              <w:t>万元，生均 1.</w:t>
            </w:r>
            <w:r>
              <w:rPr>
                <w:rFonts w:hint="eastAsia" w:ascii="仿宋" w:hAnsi="仿宋" w:eastAsia="仿宋"/>
                <w:sz w:val="28"/>
                <w:szCs w:val="28"/>
                <w:highlight w:val="none"/>
                <w:lang w:val="en-US" w:eastAsia="zh-CN"/>
              </w:rPr>
              <w:t>525</w:t>
            </w:r>
            <w:r>
              <w:rPr>
                <w:rFonts w:hint="eastAsia" w:ascii="仿宋" w:hAnsi="仿宋" w:eastAsia="仿宋"/>
                <w:sz w:val="28"/>
                <w:szCs w:val="28"/>
                <w:highlight w:val="none"/>
              </w:rPr>
              <w:t>万元。基本符合设置职业本科专业的要求，能够满足师生实习实训（培训）的需求。</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黑体" w:hAnsi="黑体" w:eastAsia="黑体"/>
                <w:sz w:val="28"/>
                <w:szCs w:val="28"/>
                <w:highlight w:val="none"/>
              </w:rPr>
            </w:pPr>
            <w:r>
              <w:rPr>
                <w:rFonts w:hint="eastAsia" w:ascii="黑体" w:hAnsi="黑体" w:eastAsia="黑体"/>
                <w:sz w:val="28"/>
                <w:szCs w:val="28"/>
                <w:highlight w:val="none"/>
              </w:rPr>
              <w:t>二、积极推进产教融合，建立校企、</w:t>
            </w:r>
            <w:r>
              <w:rPr>
                <w:rFonts w:hint="eastAsia" w:ascii="黑体" w:hAnsi="黑体" w:eastAsia="黑体"/>
                <w:sz w:val="28"/>
                <w:szCs w:val="28"/>
                <w:highlight w:val="none"/>
                <w:lang w:val="en-US" w:eastAsia="zh-CN"/>
              </w:rPr>
              <w:t>校政</w:t>
            </w:r>
            <w:r>
              <w:rPr>
                <w:rFonts w:hint="eastAsia" w:ascii="黑体" w:hAnsi="黑体" w:eastAsia="黑体"/>
                <w:sz w:val="28"/>
                <w:szCs w:val="28"/>
                <w:highlight w:val="none"/>
              </w:rPr>
              <w:t>合作关系</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依托专业积极开展多种形式的产学研合作，行业、企业参与人才培养方案的编写及参与人才培养的全过程，将人才培养与行业、企业生产服务流程和价值创造过程相融合。与广西投资集团有限公司、广西中辰投资有限公司等9家</w:t>
            </w:r>
            <w:r>
              <w:rPr>
                <w:rFonts w:hint="eastAsia" w:ascii="仿宋" w:hAnsi="仿宋" w:eastAsia="仿宋"/>
                <w:sz w:val="28"/>
                <w:szCs w:val="28"/>
                <w:highlight w:val="none"/>
                <w:lang w:eastAsia="zh-CN"/>
              </w:rPr>
              <w:t>企事业单位</w:t>
            </w:r>
            <w:r>
              <w:rPr>
                <w:rFonts w:hint="eastAsia" w:ascii="仿宋" w:hAnsi="仿宋" w:eastAsia="仿宋"/>
                <w:sz w:val="28"/>
                <w:szCs w:val="28"/>
                <w:highlight w:val="none"/>
              </w:rPr>
              <w:t>合作，共建校外实训基地，建立了由学校教师和企业导师共同组成的实习实训指导教师队伍，共同完成对学生实训实习、顶岗实习的指导。未来我们将进一步加强校企、校</w:t>
            </w:r>
            <w:r>
              <w:rPr>
                <w:rFonts w:hint="eastAsia" w:ascii="仿宋" w:hAnsi="仿宋" w:eastAsia="仿宋"/>
                <w:sz w:val="28"/>
                <w:szCs w:val="28"/>
                <w:highlight w:val="none"/>
                <w:lang w:eastAsia="zh-CN"/>
              </w:rPr>
              <w:t>政</w:t>
            </w:r>
            <w:r>
              <w:rPr>
                <w:rFonts w:hint="eastAsia" w:ascii="仿宋" w:hAnsi="仿宋" w:eastAsia="仿宋"/>
                <w:sz w:val="28"/>
                <w:szCs w:val="28"/>
                <w:highlight w:val="none"/>
              </w:rPr>
              <w:t>深度合作，不断拓展校外实训基地。</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黑体" w:hAnsi="黑体" w:eastAsia="黑体"/>
                <w:sz w:val="28"/>
                <w:szCs w:val="28"/>
                <w:highlight w:val="none"/>
              </w:rPr>
            </w:pPr>
            <w:r>
              <w:rPr>
                <w:rFonts w:hint="eastAsia" w:ascii="黑体" w:hAnsi="黑体" w:eastAsia="黑体"/>
                <w:sz w:val="28"/>
                <w:szCs w:val="28"/>
                <w:highlight w:val="none"/>
              </w:rPr>
              <w:t>三、专业建设经费稳定增长，专业发展可保障</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Times New Roman" w:hAnsi="Times New Roman" w:eastAsia="方正仿宋简体" w:cs="Times New Roman"/>
                <w:sz w:val="18"/>
                <w:szCs w:val="18"/>
                <w:highlight w:val="none"/>
              </w:rPr>
            </w:pPr>
            <w:r>
              <w:rPr>
                <w:rFonts w:hint="eastAsia" w:ascii="仿宋" w:hAnsi="仿宋" w:eastAsia="仿宋"/>
                <w:sz w:val="28"/>
                <w:szCs w:val="28"/>
                <w:highlight w:val="none"/>
              </w:rPr>
              <w:t>学校根据财税大数据应用专业建设的规划，加快教学基础设施的建设，加大添置、更新教学设备的投入，加大专业建设经费投入力度，确保专业建设费、师资进修培训费、课程建设费、教材建设费等教育经费充足并逐年增长，保证实训室建设满足学生实训教学需要，使专业发展可保障。</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ascii="Times New Roman" w:hAnsi="Times New Roman" w:eastAsia="方正仿宋简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技术研发与社会服务基础概要</w:t>
            </w:r>
          </w:p>
        </w:tc>
        <w:tc>
          <w:tcPr>
            <w:tcW w:w="7844" w:type="dxa"/>
            <w:gridSpan w:val="4"/>
          </w:tcPr>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依托专业在技术研发与社会服务上有较好的工作基础，有较高的科学技术研发水平，近三年获批市厅级以上课题/项目立项</w:t>
            </w:r>
            <w:r>
              <w:rPr>
                <w:rFonts w:ascii="仿宋" w:hAnsi="仿宋" w:eastAsia="仿宋"/>
                <w:sz w:val="28"/>
                <w:szCs w:val="28"/>
                <w:highlight w:val="none"/>
              </w:rPr>
              <w:t>13</w:t>
            </w:r>
            <w:r>
              <w:rPr>
                <w:rFonts w:hint="eastAsia" w:ascii="仿宋" w:hAnsi="仿宋" w:eastAsia="仿宋"/>
                <w:sz w:val="28"/>
                <w:szCs w:val="28"/>
                <w:highlight w:val="none"/>
              </w:rPr>
              <w:t>项，其中科研课题</w:t>
            </w:r>
            <w:r>
              <w:rPr>
                <w:rFonts w:ascii="仿宋" w:hAnsi="仿宋" w:eastAsia="仿宋"/>
                <w:sz w:val="28"/>
                <w:szCs w:val="28"/>
                <w:highlight w:val="none"/>
              </w:rPr>
              <w:t>9</w:t>
            </w:r>
            <w:r>
              <w:rPr>
                <w:rFonts w:hint="eastAsia" w:ascii="仿宋" w:hAnsi="仿宋" w:eastAsia="仿宋"/>
                <w:sz w:val="28"/>
                <w:szCs w:val="28"/>
                <w:highlight w:val="none"/>
              </w:rPr>
              <w:t>项，教改课题</w:t>
            </w:r>
            <w:r>
              <w:rPr>
                <w:rFonts w:ascii="仿宋" w:hAnsi="仿宋" w:eastAsia="仿宋"/>
                <w:sz w:val="28"/>
                <w:szCs w:val="28"/>
                <w:highlight w:val="none"/>
              </w:rPr>
              <w:t>4</w:t>
            </w:r>
            <w:r>
              <w:rPr>
                <w:rFonts w:hint="eastAsia" w:ascii="仿宋" w:hAnsi="仿宋" w:eastAsia="仿宋"/>
                <w:sz w:val="28"/>
                <w:szCs w:val="28"/>
                <w:highlight w:val="none"/>
              </w:rPr>
              <w:t>项，校级教学成果奖</w:t>
            </w:r>
            <w:r>
              <w:rPr>
                <w:rFonts w:ascii="仿宋" w:hAnsi="仿宋" w:eastAsia="仿宋"/>
                <w:sz w:val="28"/>
                <w:szCs w:val="28"/>
                <w:highlight w:val="none"/>
              </w:rPr>
              <w:t>4</w:t>
            </w:r>
            <w:r>
              <w:rPr>
                <w:rFonts w:hint="eastAsia" w:ascii="仿宋" w:hAnsi="仿宋" w:eastAsia="仿宋"/>
                <w:sz w:val="28"/>
                <w:szCs w:val="28"/>
                <w:highlight w:val="none"/>
              </w:rPr>
              <w:t>项，在各级各类期刊杂志发表论文</w:t>
            </w:r>
            <w:r>
              <w:rPr>
                <w:rFonts w:ascii="仿宋" w:hAnsi="仿宋" w:eastAsia="仿宋"/>
                <w:sz w:val="28"/>
                <w:szCs w:val="28"/>
                <w:highlight w:val="none"/>
              </w:rPr>
              <w:t>29</w:t>
            </w:r>
            <w:r>
              <w:rPr>
                <w:rFonts w:hint="eastAsia" w:ascii="仿宋" w:hAnsi="仿宋" w:eastAsia="仿宋"/>
                <w:sz w:val="28"/>
                <w:szCs w:val="28"/>
                <w:highlight w:val="none"/>
              </w:rPr>
              <w:t>篇。近三年，指导学生参加全国证券投资模拟实训大赛，获一等奖6项，二等奖4项，三等奖1项，指导学生参加“衡信杯”全国高职云端税务技能大赛，获得二等奖5项。</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sz w:val="28"/>
                <w:szCs w:val="28"/>
                <w:highlight w:val="none"/>
              </w:rPr>
            </w:pPr>
            <w:r>
              <w:rPr>
                <w:rFonts w:hint="eastAsia" w:ascii="仿宋" w:hAnsi="仿宋" w:eastAsia="仿宋"/>
                <w:sz w:val="28"/>
                <w:szCs w:val="28"/>
                <w:highlight w:val="none"/>
              </w:rPr>
              <w:t>学校设立行政与税务学院，由我们的师资团队及校外专家共同为全校师生开展免费的行政与税务知识授课与培训。近三年，行政与税务学院开设税务课程，参与学习21664人；开展税务讲座28场，参培人数6617人；开展税务知识竞赛，参赛人数9986人；指导师生创业团队成立65家公司，营业额累计5821万元，纳税152万元；并为广西区内19个税务局开展干部职工税务培训27期，参培人数1692人。税务培训取得良好社会效应和经济效益等。为专业建设奠定了良好基础。</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sz w:val="28"/>
                <w:szCs w:val="28"/>
                <w:highlight w:val="none"/>
              </w:rPr>
            </w:pPr>
            <w:r>
              <w:rPr>
                <w:rFonts w:hint="eastAsia" w:ascii="仿宋" w:hAnsi="仿宋" w:eastAsia="仿宋"/>
                <w:sz w:val="28"/>
                <w:szCs w:val="28"/>
                <w:highlight w:val="none"/>
              </w:rPr>
              <w:t xml:space="preserve">为贯彻落实党中央“六稳”“六保”重大决策部署，打好打赢“稳就业保民生攻坚战”，充分发挥“大学生创业就业税费服务站”作用 ，每年依托专业都持续组织学子前往崇左市江州区税务局开展税收实践志愿活动。    </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sz w:val="28"/>
                <w:szCs w:val="28"/>
                <w:highlight w:val="none"/>
              </w:rPr>
            </w:pPr>
            <w:r>
              <w:rPr>
                <w:rFonts w:hint="eastAsia" w:ascii="仿宋" w:hAnsi="仿宋" w:eastAsia="仿宋"/>
                <w:sz w:val="28"/>
                <w:szCs w:val="28"/>
                <w:highlight w:val="none"/>
              </w:rPr>
              <w:t>在崇左市江州区税务局服务厅，学生志愿者现场就群众普遍关注的“社保费”“个人所得税”“房产交易”等热点问题进行答疑，帮助群众使用自助办税终端、手机等工具快速进行业务办理。服务崇左当地，将“税校互促”合作新模式落实落细，助力大学生走稳走好就业创业之路，推动税收工作、高校教育更好地服务地方经济社会发展。</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积极开展专业知识培训和技术服务，为企业提供技术咨询和服务，受到企业的广泛好评。近年来，所依托大数据与会计专业开展校内外人员专业培训，</w:t>
            </w:r>
            <w:r>
              <w:rPr>
                <w:rFonts w:hint="eastAsia" w:ascii="仿宋" w:hAnsi="仿宋" w:eastAsia="仿宋"/>
                <w:sz w:val="28"/>
                <w:szCs w:val="28"/>
                <w:highlight w:val="none"/>
                <w:lang w:val="en-US" w:eastAsia="zh-CN"/>
              </w:rPr>
              <w:t>2022</w:t>
            </w:r>
            <w:r>
              <w:rPr>
                <w:rFonts w:hint="eastAsia" w:ascii="仿宋" w:hAnsi="仿宋" w:eastAsia="仿宋"/>
                <w:sz w:val="28"/>
                <w:szCs w:val="28"/>
                <w:highlight w:val="none"/>
              </w:rPr>
              <w:t>年培训人数达到了</w:t>
            </w:r>
            <w:r>
              <w:rPr>
                <w:rFonts w:hint="eastAsia" w:ascii="仿宋" w:hAnsi="仿宋" w:eastAsia="仿宋"/>
                <w:sz w:val="28"/>
                <w:szCs w:val="28"/>
                <w:highlight w:val="none"/>
                <w:lang w:val="en-US" w:eastAsia="zh-CN"/>
              </w:rPr>
              <w:t>910</w:t>
            </w:r>
            <w:r>
              <w:rPr>
                <w:rFonts w:hint="eastAsia" w:ascii="仿宋" w:hAnsi="仿宋" w:eastAsia="仿宋"/>
                <w:sz w:val="28"/>
                <w:szCs w:val="28"/>
                <w:highlight w:val="none"/>
              </w:rPr>
              <w:t>人次，</w:t>
            </w:r>
            <w:r>
              <w:rPr>
                <w:rFonts w:hint="eastAsia" w:ascii="仿宋" w:hAnsi="仿宋" w:eastAsia="仿宋"/>
                <w:sz w:val="28"/>
                <w:szCs w:val="28"/>
                <w:highlight w:val="none"/>
                <w:lang w:eastAsia="zh-CN"/>
              </w:rPr>
              <w:t>达到</w:t>
            </w:r>
            <w:r>
              <w:rPr>
                <w:rFonts w:hint="eastAsia" w:ascii="仿宋" w:hAnsi="仿宋" w:eastAsia="仿宋"/>
                <w:sz w:val="28"/>
                <w:szCs w:val="28"/>
                <w:highlight w:val="none"/>
                <w:lang w:val="en-US" w:eastAsia="zh-CN"/>
              </w:rPr>
              <w:t>本专业</w:t>
            </w:r>
            <w:r>
              <w:rPr>
                <w:rFonts w:hint="eastAsia" w:ascii="仿宋" w:hAnsi="仿宋" w:eastAsia="仿宋"/>
                <w:sz w:val="28"/>
                <w:szCs w:val="28"/>
                <w:highlight w:val="none"/>
                <w:lang w:eastAsia="zh-CN"/>
              </w:rPr>
              <w:t>在校生人数</w:t>
            </w:r>
            <w:r>
              <w:rPr>
                <w:rFonts w:hint="eastAsia" w:ascii="仿宋" w:hAnsi="仿宋" w:eastAsia="仿宋"/>
                <w:sz w:val="28"/>
                <w:szCs w:val="28"/>
                <w:highlight w:val="none"/>
                <w:lang w:val="en-US" w:eastAsia="zh-CN"/>
              </w:rPr>
              <w:t>2.01</w:t>
            </w:r>
            <w:r>
              <w:rPr>
                <w:rFonts w:hint="eastAsia" w:ascii="仿宋" w:hAnsi="仿宋" w:eastAsia="仿宋"/>
                <w:sz w:val="28"/>
                <w:szCs w:val="28"/>
                <w:highlight w:val="none"/>
                <w:lang w:eastAsia="zh-CN"/>
              </w:rPr>
              <w:t>倍</w:t>
            </w:r>
            <w:r>
              <w:rPr>
                <w:rFonts w:hint="eastAsia" w:ascii="仿宋" w:hAnsi="仿宋" w:eastAsia="仿宋"/>
                <w:sz w:val="28"/>
                <w:szCs w:val="28"/>
                <w:highlight w:val="none"/>
              </w:rPr>
              <w:t>，在一定程度上对提升地方社会经济效益和社会效益做出贡献。</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Times New Roman" w:hAnsi="Times New Roman" w:eastAsia="方正仿宋简体" w:cs="Times New Roman"/>
                <w:sz w:val="18"/>
                <w:szCs w:val="18"/>
                <w:highlight w:val="none"/>
              </w:rPr>
            </w:pPr>
            <w:r>
              <w:rPr>
                <w:rFonts w:hint="eastAsia" w:ascii="仿宋" w:hAnsi="仿宋" w:eastAsia="仿宋"/>
                <w:sz w:val="28"/>
                <w:szCs w:val="28"/>
                <w:highlight w:val="none"/>
              </w:rPr>
              <w:t>积极参与实施“1+X”证书试点，已获批1+X智能财税（初、中级）、大数据财务分析（中级）、财务数字化应用（中级）职业技能等级证书的试点和考核工作，已培训考核学生</w:t>
            </w: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00人次。</w:t>
            </w:r>
          </w:p>
          <w:p>
            <w:pPr>
              <w:snapToGrid w:val="0"/>
              <w:jc w:val="left"/>
              <w:rPr>
                <w:rFonts w:ascii="Times New Roman" w:hAnsi="Times New Roman" w:eastAsia="方正仿宋简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8" w:hRule="atLeast"/>
          <w:jc w:val="center"/>
        </w:trPr>
        <w:tc>
          <w:tcPr>
            <w:tcW w:w="888"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专家组评议意见</w:t>
            </w:r>
          </w:p>
        </w:tc>
        <w:tc>
          <w:tcPr>
            <w:tcW w:w="7844" w:type="dxa"/>
            <w:gridSpan w:val="4"/>
            <w:vAlign w:val="top"/>
          </w:tcPr>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专家组在认真审阅</w:t>
            </w:r>
            <w:r>
              <w:rPr>
                <w:rFonts w:hint="eastAsia" w:ascii="仿宋" w:hAnsi="仿宋" w:eastAsia="仿宋" w:cs="仿宋"/>
                <w:sz w:val="28"/>
                <w:szCs w:val="28"/>
                <w:highlight w:val="none"/>
                <w:lang w:eastAsia="zh-CN"/>
              </w:rPr>
              <w:t>财税大数据应用</w:t>
            </w:r>
            <w:r>
              <w:rPr>
                <w:rFonts w:hint="eastAsia" w:ascii="仿宋" w:hAnsi="仿宋" w:eastAsia="仿宋" w:cs="仿宋"/>
                <w:sz w:val="28"/>
                <w:szCs w:val="28"/>
                <w:highlight w:val="none"/>
              </w:rPr>
              <w:t>专业材料的基础上，对该专业人才培养方案、课程体系设置、实训条件和师资队伍建设等方面进行了充分的研讨和论证，得出以下结论： </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1.报告对本区域</w:t>
            </w:r>
            <w:r>
              <w:rPr>
                <w:rFonts w:hint="eastAsia" w:ascii="仿宋" w:hAnsi="仿宋" w:eastAsia="仿宋" w:cs="仿宋"/>
                <w:sz w:val="28"/>
                <w:szCs w:val="28"/>
                <w:highlight w:val="none"/>
                <w:lang w:eastAsia="zh-CN"/>
              </w:rPr>
              <w:t>财税大数据应用</w:t>
            </w:r>
            <w:r>
              <w:rPr>
                <w:rFonts w:hint="eastAsia" w:ascii="仿宋" w:hAnsi="仿宋" w:eastAsia="仿宋" w:cs="仿宋"/>
                <w:sz w:val="28"/>
                <w:szCs w:val="28"/>
                <w:highlight w:val="none"/>
              </w:rPr>
              <w:t>行业企业、就业市场职业技能人才需求的调研分析全面详细，对专业设置的必要性、可行性论证严谨充分。同时，设置职业本科</w:t>
            </w:r>
            <w:r>
              <w:rPr>
                <w:rFonts w:hint="eastAsia" w:ascii="仿宋" w:hAnsi="仿宋" w:eastAsia="仿宋" w:cs="仿宋"/>
                <w:sz w:val="28"/>
                <w:szCs w:val="28"/>
                <w:highlight w:val="none"/>
                <w:lang w:eastAsia="zh-CN"/>
              </w:rPr>
              <w:t>财税大数据应用</w:t>
            </w:r>
            <w:r>
              <w:rPr>
                <w:rFonts w:hint="eastAsia" w:ascii="仿宋" w:hAnsi="仿宋" w:eastAsia="仿宋" w:cs="仿宋"/>
                <w:sz w:val="28"/>
                <w:szCs w:val="28"/>
                <w:highlight w:val="none"/>
              </w:rPr>
              <w:t>专业培养高层次技术技能专业人才，对于促进我区</w:t>
            </w:r>
            <w:r>
              <w:rPr>
                <w:rFonts w:hint="eastAsia" w:ascii="仿宋" w:hAnsi="仿宋" w:eastAsia="仿宋" w:cs="仿宋"/>
                <w:sz w:val="28"/>
                <w:szCs w:val="28"/>
                <w:highlight w:val="none"/>
                <w:lang w:eastAsia="zh-CN"/>
              </w:rPr>
              <w:t>财税</w:t>
            </w:r>
            <w:r>
              <w:rPr>
                <w:rFonts w:hint="eastAsia" w:ascii="仿宋" w:hAnsi="仿宋" w:eastAsia="仿宋" w:cs="仿宋"/>
                <w:sz w:val="28"/>
                <w:szCs w:val="28"/>
                <w:highlight w:val="none"/>
              </w:rPr>
              <w:t>行业进一步发展具有重要意义。</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2.该专业办学基础、办学条件、办学特色符合教育部本科层次职业教育专业设置要求，其中依托专业师生比为1:17.</w:t>
            </w:r>
            <w:r>
              <w:rPr>
                <w:rFonts w:hint="eastAsia" w:ascii="仿宋" w:hAnsi="仿宋" w:eastAsia="仿宋" w:cs="仿宋"/>
                <w:sz w:val="28"/>
                <w:szCs w:val="28"/>
                <w:highlight w:val="none"/>
                <w:lang w:val="en-US" w:eastAsia="zh-CN"/>
              </w:rPr>
              <w:t>42</w:t>
            </w:r>
            <w:r>
              <w:rPr>
                <w:rFonts w:hint="eastAsia" w:ascii="仿宋" w:hAnsi="仿宋" w:eastAsia="仿宋" w:cs="仿宋"/>
                <w:sz w:val="28"/>
                <w:szCs w:val="28"/>
                <w:highlight w:val="none"/>
              </w:rPr>
              <w:t>，生均教学科研仪器设备值达</w:t>
            </w:r>
            <w:r>
              <w:rPr>
                <w:rFonts w:hint="eastAsia" w:ascii="仿宋" w:hAnsi="仿宋" w:eastAsia="仿宋"/>
                <w:sz w:val="28"/>
                <w:szCs w:val="28"/>
                <w:highlight w:val="none"/>
              </w:rPr>
              <w:t>1.</w:t>
            </w:r>
            <w:r>
              <w:rPr>
                <w:rFonts w:hint="eastAsia" w:ascii="仿宋" w:hAnsi="仿宋" w:eastAsia="仿宋"/>
                <w:sz w:val="28"/>
                <w:szCs w:val="28"/>
                <w:highlight w:val="none"/>
                <w:lang w:val="en-US" w:eastAsia="zh-CN"/>
              </w:rPr>
              <w:t>525</w:t>
            </w:r>
            <w:r>
              <w:rPr>
                <w:rFonts w:hint="eastAsia" w:ascii="仿宋" w:hAnsi="仿宋" w:eastAsia="仿宋" w:cs="仿宋"/>
                <w:sz w:val="28"/>
                <w:szCs w:val="28"/>
                <w:highlight w:val="none"/>
              </w:rPr>
              <w:t>万元，教师中高级职称教师占比为</w:t>
            </w:r>
            <w:r>
              <w:rPr>
                <w:rFonts w:hint="eastAsia" w:ascii="仿宋" w:hAnsi="仿宋" w:eastAsia="仿宋" w:cs="仿宋"/>
                <w:sz w:val="28"/>
                <w:szCs w:val="28"/>
                <w:highlight w:val="none"/>
                <w:lang w:val="en-US" w:eastAsia="zh-CN"/>
              </w:rPr>
              <w:t>31.82</w:t>
            </w:r>
            <w:r>
              <w:rPr>
                <w:rFonts w:hint="eastAsia" w:ascii="仿宋" w:hAnsi="仿宋" w:eastAsia="仿宋" w:cs="仿宋"/>
                <w:sz w:val="28"/>
                <w:szCs w:val="28"/>
                <w:highlight w:val="none"/>
              </w:rPr>
              <w:t>%%，具有研究生学位教师占比59.09%，具有博士研究生学位教师占比为18.1</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%，“双师型”教师占比54.55%，师资结构科学合理。</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eastAsia="zh-CN"/>
              </w:rPr>
              <w:t>财税大数据应用</w:t>
            </w:r>
            <w:r>
              <w:rPr>
                <w:rFonts w:hint="eastAsia" w:ascii="仿宋" w:hAnsi="仿宋" w:eastAsia="仿宋" w:cs="仿宋"/>
                <w:sz w:val="28"/>
                <w:szCs w:val="28"/>
                <w:highlight w:val="none"/>
              </w:rPr>
              <w:t>专业人才培养方案整体框架结构合理，培养目标定位准确，教学实施过程理论与实践相结合，实践教学学时占总学时比例达</w:t>
            </w:r>
            <w:r>
              <w:rPr>
                <w:rFonts w:hint="eastAsia" w:ascii="仿宋" w:hAnsi="仿宋" w:eastAsia="仿宋" w:cs="仿宋"/>
                <w:sz w:val="28"/>
                <w:szCs w:val="28"/>
                <w:highlight w:val="none"/>
                <w:lang w:val="en-US" w:eastAsia="zh-CN"/>
              </w:rPr>
              <w:t>51.70</w:t>
            </w:r>
            <w:r>
              <w:rPr>
                <w:rFonts w:hint="eastAsia" w:ascii="仿宋" w:hAnsi="仿宋" w:eastAsia="仿宋" w:cs="仿宋"/>
                <w:sz w:val="28"/>
                <w:szCs w:val="28"/>
                <w:highlight w:val="none"/>
              </w:rPr>
              <w:t>%，利于培养行业缺乏的工匠型人才。该专业符合高层次技术技能人才培养要求，合理可行，可操作性强。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both"/>
              <w:textAlignment w:val="auto"/>
              <w:rPr>
                <w:rFonts w:ascii="Times New Roman" w:hAnsi="Times New Roman" w:eastAsia="仿宋_GB2312" w:cs="Times New Roman"/>
                <w:sz w:val="18"/>
                <w:szCs w:val="18"/>
                <w:highlight w:val="none"/>
              </w:rPr>
            </w:pPr>
            <w:r>
              <w:rPr>
                <w:rFonts w:hint="eastAsia" w:ascii="仿宋" w:hAnsi="仿宋" w:eastAsia="仿宋" w:cs="仿宋"/>
                <w:sz w:val="28"/>
                <w:szCs w:val="28"/>
                <w:highlight w:val="none"/>
              </w:rPr>
              <w:t>综上所述，本科层次</w:t>
            </w:r>
            <w:r>
              <w:rPr>
                <w:rFonts w:hint="eastAsia" w:ascii="仿宋" w:hAnsi="仿宋" w:eastAsia="仿宋" w:cs="仿宋"/>
                <w:sz w:val="28"/>
                <w:szCs w:val="28"/>
                <w:highlight w:val="none"/>
                <w:lang w:eastAsia="zh-CN"/>
              </w:rPr>
              <w:t>财税大数据应用</w:t>
            </w:r>
            <w:r>
              <w:rPr>
                <w:rFonts w:hint="eastAsia" w:ascii="仿宋" w:hAnsi="仿宋" w:eastAsia="仿宋" w:cs="仿宋"/>
                <w:sz w:val="28"/>
                <w:szCs w:val="28"/>
                <w:highlight w:val="none"/>
              </w:rPr>
              <w:t>专业设置和人才培养符合行业、市场需求，办学基础条件较好，培养目标定位、规格、方案合理可行，具有积极的现实意义和必要性。经专家组评议，一致同意设置该专业。</w:t>
            </w:r>
          </w:p>
          <w:p>
            <w:pPr>
              <w:keepNext w:val="0"/>
              <w:keepLines w:val="0"/>
              <w:pageBreakBefore w:val="0"/>
              <w:widowControl w:val="0"/>
              <w:tabs>
                <w:tab w:val="left" w:pos="478"/>
              </w:tabs>
              <w:kinsoku/>
              <w:wordWrap w:val="0"/>
              <w:overflowPunct/>
              <w:topLinePunct w:val="0"/>
              <w:autoSpaceDE/>
              <w:autoSpaceDN/>
              <w:bidi w:val="0"/>
              <w:adjustRightInd/>
              <w:snapToGrid w:val="0"/>
              <w:spacing w:line="400" w:lineRule="exact"/>
              <w:ind w:firstLine="1680" w:firstLineChars="600"/>
              <w:jc w:val="both"/>
              <w:textAlignment w:val="auto"/>
              <w:rPr>
                <w:rFonts w:hint="eastAsia" w:ascii="仿宋" w:hAnsi="仿宋" w:eastAsia="仿宋" w:cs="仿宋"/>
                <w:sz w:val="28"/>
                <w:szCs w:val="28"/>
                <w:highlight w:val="none"/>
              </w:rPr>
            </w:pPr>
          </w:p>
          <w:p>
            <w:pPr>
              <w:keepNext w:val="0"/>
              <w:keepLines w:val="0"/>
              <w:pageBreakBefore w:val="0"/>
              <w:widowControl w:val="0"/>
              <w:tabs>
                <w:tab w:val="left" w:pos="478"/>
              </w:tabs>
              <w:kinsoku/>
              <w:wordWrap w:val="0"/>
              <w:overflowPunct/>
              <w:topLinePunct w:val="0"/>
              <w:autoSpaceDE/>
              <w:autoSpaceDN/>
              <w:bidi w:val="0"/>
              <w:adjustRightInd/>
              <w:snapToGrid w:val="0"/>
              <w:spacing w:line="400" w:lineRule="exact"/>
              <w:ind w:firstLine="1680" w:firstLineChars="6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专家组长签字：  </w:t>
            </w:r>
          </w:p>
          <w:p>
            <w:pPr>
              <w:keepNext w:val="0"/>
              <w:keepLines w:val="0"/>
              <w:pageBreakBefore w:val="0"/>
              <w:widowControl w:val="0"/>
              <w:tabs>
                <w:tab w:val="left" w:pos="478"/>
              </w:tabs>
              <w:kinsoku/>
              <w:wordWrap w:val="0"/>
              <w:overflowPunct/>
              <w:topLinePunct w:val="0"/>
              <w:autoSpaceDE/>
              <w:autoSpaceDN/>
              <w:bidi w:val="0"/>
              <w:adjustRightInd/>
              <w:snapToGrid w:val="0"/>
              <w:spacing w:line="400" w:lineRule="exact"/>
              <w:ind w:firstLine="1680" w:firstLineChars="600"/>
              <w:jc w:val="both"/>
              <w:textAlignment w:val="auto"/>
              <w:rPr>
                <w:rFonts w:hint="eastAsia" w:ascii="仿宋" w:hAnsi="仿宋" w:eastAsia="仿宋" w:cs="仿宋"/>
                <w:sz w:val="28"/>
                <w:szCs w:val="28"/>
                <w:highlight w:val="none"/>
              </w:rPr>
            </w:pPr>
          </w:p>
          <w:p>
            <w:pPr>
              <w:keepNext w:val="0"/>
              <w:keepLines w:val="0"/>
              <w:pageBreakBefore w:val="0"/>
              <w:widowControl w:val="0"/>
              <w:tabs>
                <w:tab w:val="left" w:pos="478"/>
              </w:tabs>
              <w:kinsoku/>
              <w:wordWrap w:val="0"/>
              <w:overflowPunct/>
              <w:topLinePunct w:val="0"/>
              <w:autoSpaceDE/>
              <w:autoSpaceDN/>
              <w:bidi w:val="0"/>
              <w:adjustRightInd/>
              <w:snapToGrid w:val="0"/>
              <w:spacing w:line="400" w:lineRule="exact"/>
              <w:ind w:firstLine="1680" w:firstLineChars="600"/>
              <w:jc w:val="both"/>
              <w:textAlignment w:val="auto"/>
              <w:rPr>
                <w:rFonts w:hint="eastAsia" w:ascii="仿宋" w:hAnsi="仿宋" w:eastAsia="仿宋" w:cs="仿宋"/>
                <w:sz w:val="28"/>
                <w:szCs w:val="28"/>
                <w:highlight w:val="none"/>
              </w:rPr>
            </w:pPr>
          </w:p>
          <w:p>
            <w:pPr>
              <w:keepNext w:val="0"/>
              <w:keepLines w:val="0"/>
              <w:pageBreakBefore w:val="0"/>
              <w:widowControl w:val="0"/>
              <w:tabs>
                <w:tab w:val="left" w:pos="478"/>
              </w:tabs>
              <w:kinsoku/>
              <w:wordWrap w:val="0"/>
              <w:overflowPunct/>
              <w:topLinePunct w:val="0"/>
              <w:autoSpaceDE/>
              <w:autoSpaceDN/>
              <w:bidi w:val="0"/>
              <w:adjustRightInd/>
              <w:snapToGrid w:val="0"/>
              <w:spacing w:line="400" w:lineRule="exact"/>
              <w:ind w:firstLine="1680" w:firstLineChars="600"/>
              <w:jc w:val="both"/>
              <w:textAlignment w:val="auto"/>
              <w:rPr>
                <w:rFonts w:hint="eastAsia" w:ascii="仿宋" w:hAnsi="仿宋" w:eastAsia="仿宋" w:cs="仿宋"/>
                <w:sz w:val="28"/>
                <w:szCs w:val="28"/>
                <w:highlight w:val="none"/>
              </w:rPr>
            </w:pPr>
          </w:p>
          <w:p>
            <w:pPr>
              <w:keepNext w:val="0"/>
              <w:keepLines w:val="0"/>
              <w:pageBreakBefore w:val="0"/>
              <w:widowControl w:val="0"/>
              <w:tabs>
                <w:tab w:val="left" w:pos="478"/>
              </w:tabs>
              <w:kinsoku/>
              <w:wordWrap w:val="0"/>
              <w:overflowPunct/>
              <w:topLinePunct w:val="0"/>
              <w:autoSpaceDE/>
              <w:autoSpaceDN/>
              <w:bidi w:val="0"/>
              <w:adjustRightInd/>
              <w:snapToGrid w:val="0"/>
              <w:spacing w:line="400" w:lineRule="exact"/>
              <w:ind w:firstLine="1440" w:firstLineChars="600"/>
              <w:jc w:val="both"/>
              <w:textAlignment w:val="auto"/>
              <w:rPr>
                <w:rFonts w:ascii="Times New Roman" w:hAnsi="Times New Roman" w:eastAsia="仿宋_GB2312" w:cs="Times New Roman"/>
                <w:sz w:val="24"/>
                <w:szCs w:val="24"/>
                <w:highlight w:val="none"/>
                <w:lang w:bidi="ar"/>
              </w:rPr>
            </w:pPr>
            <w:r>
              <w:rPr>
                <w:rFonts w:ascii="Times New Roman" w:hAnsi="Times New Roman" w:eastAsia="仿宋_GB2312" w:cs="Times New Roman"/>
                <w:sz w:val="24"/>
                <w:szCs w:val="24"/>
                <w:highlight w:val="none"/>
                <w:lang w:bidi="ar"/>
              </w:rPr>
              <w:t xml:space="preserve">                                 </w:t>
            </w:r>
          </w:p>
          <w:p>
            <w:pPr>
              <w:snapToGrid w:val="0"/>
              <w:jc w:val="both"/>
              <w:rPr>
                <w:rFonts w:ascii="Times New Roman" w:hAnsi="Times New Roman" w:eastAsia="仿宋_GB2312" w:cs="Times New Roman"/>
                <w:szCs w:val="21"/>
                <w:highlight w:val="none"/>
                <w:lang w:bidi="ar"/>
              </w:rPr>
            </w:pPr>
          </w:p>
          <w:p>
            <w:pPr>
              <w:snapToGrid w:val="0"/>
              <w:jc w:val="both"/>
              <w:rPr>
                <w:rFonts w:ascii="Times New Roman" w:hAnsi="Times New Roman" w:eastAsia="仿宋_GB2312" w:cs="Times New Roman"/>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9" w:hRule="atLeast"/>
          <w:jc w:val="center"/>
        </w:trPr>
        <w:tc>
          <w:tcPr>
            <w:tcW w:w="888" w:type="dxa"/>
            <w:vAlign w:val="center"/>
          </w:tcPr>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仿宋_GB2312" w:cs="Times New Roman"/>
                <w:sz w:val="24"/>
                <w:szCs w:val="24"/>
                <w:highlight w:val="none"/>
              </w:rPr>
            </w:pP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省级教育行政部门复核意见</w:t>
            </w:r>
          </w:p>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方正仿宋简体" w:cs="Times New Roman"/>
                <w:sz w:val="24"/>
                <w:szCs w:val="24"/>
                <w:highlight w:val="none"/>
              </w:rPr>
            </w:pPr>
          </w:p>
          <w:p>
            <w:pPr>
              <w:snapToGrid w:val="0"/>
              <w:jc w:val="center"/>
              <w:rPr>
                <w:rFonts w:ascii="Times New Roman" w:hAnsi="Times New Roman" w:eastAsia="方正仿宋简体" w:cs="Times New Roman"/>
                <w:sz w:val="24"/>
                <w:szCs w:val="24"/>
                <w:highlight w:val="none"/>
              </w:rPr>
            </w:pPr>
          </w:p>
        </w:tc>
        <w:tc>
          <w:tcPr>
            <w:tcW w:w="7844" w:type="dxa"/>
            <w:gridSpan w:val="4"/>
            <w:vAlign w:val="bottom"/>
          </w:tcPr>
          <w:p>
            <w:pPr>
              <w:wordWrap w:val="0"/>
              <w:snapToGrid w:val="0"/>
              <w:jc w:val="right"/>
              <w:rPr>
                <w:rFonts w:ascii="Times New Roman" w:hAnsi="Times New Roman" w:eastAsia="方正仿宋简体" w:cs="Times New Roman"/>
                <w:sz w:val="18"/>
                <w:szCs w:val="18"/>
                <w:highlight w:val="none"/>
                <w:lang w:bidi="ar"/>
              </w:rPr>
            </w:pPr>
          </w:p>
          <w:p>
            <w:pPr>
              <w:snapToGrid w:val="0"/>
              <w:jc w:val="right"/>
              <w:rPr>
                <w:rFonts w:ascii="Times New Roman" w:hAnsi="Times New Roman" w:eastAsia="方正仿宋简体" w:cs="Times New Roman"/>
                <w:sz w:val="18"/>
                <w:szCs w:val="18"/>
                <w:highlight w:val="none"/>
                <w:lang w:bidi="ar"/>
              </w:rPr>
            </w:pPr>
          </w:p>
          <w:p>
            <w:pPr>
              <w:snapToGrid w:val="0"/>
              <w:jc w:val="right"/>
              <w:rPr>
                <w:rFonts w:ascii="Times New Roman" w:hAnsi="Times New Roman" w:eastAsia="方正仿宋简体" w:cs="Times New Roman"/>
                <w:sz w:val="18"/>
                <w:szCs w:val="18"/>
                <w:highlight w:val="none"/>
                <w:lang w:bidi="ar"/>
              </w:rPr>
            </w:pPr>
          </w:p>
          <w:p>
            <w:pPr>
              <w:snapToGrid w:val="0"/>
              <w:jc w:val="right"/>
              <w:rPr>
                <w:rFonts w:ascii="Times New Roman" w:hAnsi="Times New Roman" w:eastAsia="方正仿宋简体" w:cs="Times New Roman"/>
                <w:sz w:val="18"/>
                <w:szCs w:val="18"/>
                <w:highlight w:val="none"/>
                <w:lang w:bidi="ar"/>
              </w:rPr>
            </w:pPr>
          </w:p>
          <w:p>
            <w:pPr>
              <w:snapToGrid w:val="0"/>
              <w:jc w:val="right"/>
              <w:rPr>
                <w:rFonts w:ascii="Times New Roman" w:hAnsi="Times New Roman" w:eastAsia="方正仿宋简体" w:cs="Times New Roman"/>
                <w:sz w:val="18"/>
                <w:szCs w:val="18"/>
                <w:highlight w:val="none"/>
                <w:lang w:bidi="ar"/>
              </w:rPr>
            </w:pPr>
          </w:p>
          <w:p>
            <w:pPr>
              <w:snapToGrid w:val="0"/>
              <w:jc w:val="right"/>
              <w:rPr>
                <w:rFonts w:ascii="Times New Roman" w:hAnsi="Times New Roman" w:eastAsia="方正仿宋简体" w:cs="Times New Roman"/>
                <w:sz w:val="18"/>
                <w:szCs w:val="18"/>
                <w:highlight w:val="none"/>
                <w:lang w:bidi="ar"/>
              </w:rPr>
            </w:pPr>
          </w:p>
          <w:p>
            <w:pPr>
              <w:snapToGrid w:val="0"/>
              <w:jc w:val="right"/>
              <w:rPr>
                <w:rFonts w:ascii="Times New Roman" w:hAnsi="Times New Roman" w:eastAsia="方正仿宋简体" w:cs="Times New Roman"/>
                <w:sz w:val="18"/>
                <w:szCs w:val="18"/>
                <w:highlight w:val="none"/>
                <w:lang w:bidi="ar"/>
              </w:rPr>
            </w:pPr>
          </w:p>
          <w:p>
            <w:pPr>
              <w:snapToGrid w:val="0"/>
              <w:jc w:val="right"/>
              <w:rPr>
                <w:rFonts w:ascii="Times New Roman" w:hAnsi="Times New Roman" w:eastAsia="方正仿宋简体" w:cs="Times New Roman"/>
                <w:sz w:val="18"/>
                <w:szCs w:val="18"/>
                <w:highlight w:val="none"/>
                <w:lang w:bidi="ar"/>
              </w:rPr>
            </w:pPr>
          </w:p>
          <w:p>
            <w:pPr>
              <w:snapToGrid w:val="0"/>
              <w:jc w:val="right"/>
              <w:rPr>
                <w:rFonts w:ascii="Times New Roman" w:hAnsi="Times New Roman" w:eastAsia="方正仿宋简体" w:cs="Times New Roman"/>
                <w:sz w:val="18"/>
                <w:szCs w:val="18"/>
                <w:highlight w:val="none"/>
                <w:lang w:bidi="ar"/>
              </w:rPr>
            </w:pPr>
          </w:p>
          <w:p>
            <w:pPr>
              <w:snapToGrid w:val="0"/>
              <w:jc w:val="right"/>
              <w:rPr>
                <w:rFonts w:ascii="Times New Roman" w:hAnsi="Times New Roman" w:eastAsia="方正仿宋简体" w:cs="Times New Roman"/>
                <w:sz w:val="18"/>
                <w:szCs w:val="18"/>
                <w:highlight w:val="none"/>
                <w:lang w:bidi="ar"/>
              </w:rPr>
            </w:pPr>
          </w:p>
          <w:p>
            <w:pPr>
              <w:snapToGrid w:val="0"/>
              <w:jc w:val="right"/>
              <w:rPr>
                <w:rFonts w:ascii="Times New Roman" w:hAnsi="Times New Roman" w:eastAsia="方正仿宋简体" w:cs="Times New Roman"/>
                <w:sz w:val="18"/>
                <w:szCs w:val="18"/>
                <w:highlight w:val="none"/>
                <w:lang w:bidi="ar"/>
              </w:rPr>
            </w:pPr>
          </w:p>
          <w:p>
            <w:pPr>
              <w:snapToGrid w:val="0"/>
              <w:jc w:val="right"/>
              <w:rPr>
                <w:rFonts w:ascii="Times New Roman" w:hAnsi="Times New Roman" w:eastAsia="方正仿宋简体" w:cs="Times New Roman"/>
                <w:sz w:val="18"/>
                <w:szCs w:val="18"/>
                <w:highlight w:val="none"/>
                <w:lang w:bidi="ar"/>
              </w:rPr>
            </w:pPr>
          </w:p>
          <w:p>
            <w:pPr>
              <w:wordWrap w:val="0"/>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snapToGrid w:val="0"/>
              <w:jc w:val="right"/>
              <w:rPr>
                <w:rFonts w:ascii="Times New Roman" w:hAnsi="Times New Roman" w:eastAsia="方正仿宋简体" w:cs="Times New Roman"/>
                <w:sz w:val="18"/>
                <w:szCs w:val="18"/>
                <w:highlight w:val="none"/>
                <w:lang w:bidi="ar"/>
              </w:rPr>
            </w:pPr>
          </w:p>
          <w:p>
            <w:pPr>
              <w:wordWrap w:val="0"/>
              <w:snapToGrid w:val="0"/>
              <w:jc w:val="right"/>
              <w:rPr>
                <w:rFonts w:ascii="Times New Roman" w:hAnsi="Times New Roman" w:eastAsia="仿宋_GB2312" w:cs="Times New Roman"/>
                <w:sz w:val="20"/>
                <w:szCs w:val="20"/>
                <w:highlight w:val="none"/>
                <w:lang w:bidi="ar"/>
              </w:rPr>
            </w:pPr>
          </w:p>
          <w:p>
            <w:pPr>
              <w:wordWrap w:val="0"/>
              <w:snapToGrid w:val="0"/>
              <w:jc w:val="right"/>
              <w:rPr>
                <w:rFonts w:ascii="Times New Roman" w:hAnsi="Times New Roman" w:eastAsia="仿宋_GB2312" w:cs="Times New Roman"/>
                <w:sz w:val="20"/>
                <w:szCs w:val="20"/>
                <w:highlight w:val="none"/>
                <w:lang w:bidi="ar"/>
              </w:rPr>
            </w:pPr>
          </w:p>
          <w:p>
            <w:pPr>
              <w:wordWrap w:val="0"/>
              <w:snapToGrid w:val="0"/>
              <w:jc w:val="right"/>
              <w:rPr>
                <w:rFonts w:ascii="Times New Roman" w:hAnsi="Times New Roman" w:eastAsia="仿宋_GB2312" w:cs="Times New Roman"/>
                <w:sz w:val="20"/>
                <w:szCs w:val="20"/>
                <w:highlight w:val="none"/>
                <w:lang w:bidi="ar"/>
              </w:rPr>
            </w:pPr>
          </w:p>
          <w:p>
            <w:pPr>
              <w:wordWrap w:val="0"/>
              <w:snapToGrid w:val="0"/>
              <w:jc w:val="right"/>
              <w:rPr>
                <w:rFonts w:ascii="Times New Roman" w:hAnsi="Times New Roman" w:eastAsia="仿宋_GB2312" w:cs="Times New Roman"/>
                <w:sz w:val="20"/>
                <w:szCs w:val="20"/>
                <w:highlight w:val="none"/>
                <w:lang w:bidi="ar"/>
              </w:rPr>
            </w:pPr>
          </w:p>
          <w:p>
            <w:pPr>
              <w:wordWrap w:val="0"/>
              <w:snapToGrid w:val="0"/>
              <w:jc w:val="right"/>
              <w:rPr>
                <w:rFonts w:ascii="Times New Roman" w:hAnsi="Times New Roman" w:eastAsia="仿宋_GB2312" w:cs="Times New Roman"/>
                <w:sz w:val="20"/>
                <w:szCs w:val="20"/>
                <w:highlight w:val="none"/>
              </w:rPr>
            </w:pPr>
            <w:r>
              <w:rPr>
                <w:rFonts w:ascii="Times New Roman" w:hAnsi="Times New Roman" w:eastAsia="仿宋_GB2312" w:cs="Times New Roman"/>
                <w:sz w:val="20"/>
                <w:szCs w:val="20"/>
                <w:highlight w:val="none"/>
                <w:lang w:bidi="ar"/>
              </w:rPr>
              <w:t xml:space="preserve">          （盖章）                   </w:t>
            </w:r>
          </w:p>
          <w:p>
            <w:pPr>
              <w:snapToGrid w:val="0"/>
              <w:jc w:val="left"/>
              <w:rPr>
                <w:rFonts w:ascii="Times New Roman" w:hAnsi="Times New Roman" w:eastAsia="仿宋_GB2312" w:cs="Times New Roman"/>
                <w:sz w:val="20"/>
                <w:szCs w:val="20"/>
                <w:highlight w:val="none"/>
              </w:rPr>
            </w:pPr>
          </w:p>
          <w:p>
            <w:pPr>
              <w:wordWrap w:val="0"/>
              <w:snapToGrid w:val="0"/>
              <w:jc w:val="right"/>
              <w:rPr>
                <w:rFonts w:ascii="Times New Roman" w:hAnsi="Times New Roman" w:eastAsia="方正仿宋简体" w:cs="Times New Roman"/>
                <w:sz w:val="18"/>
                <w:szCs w:val="18"/>
                <w:highlight w:val="none"/>
                <w:lang w:bidi="ar"/>
              </w:rPr>
            </w:pPr>
            <w:r>
              <w:rPr>
                <w:rFonts w:ascii="Times New Roman" w:hAnsi="Times New Roman" w:eastAsia="仿宋_GB2312" w:cs="Times New Roman"/>
                <w:sz w:val="20"/>
                <w:szCs w:val="20"/>
                <w:highlight w:val="none"/>
                <w:lang w:bidi="ar"/>
              </w:rPr>
              <w:t xml:space="preserve"> 年    月    日      </w:t>
            </w:r>
            <w:r>
              <w:rPr>
                <w:rFonts w:ascii="Times New Roman" w:hAnsi="Times New Roman" w:eastAsia="方正仿宋简体" w:cs="Times New Roman"/>
                <w:sz w:val="18"/>
                <w:szCs w:val="18"/>
                <w:highlight w:val="none"/>
                <w:lang w:bidi="ar"/>
              </w:rPr>
              <w:t xml:space="preserve">         </w:t>
            </w:r>
          </w:p>
          <w:p>
            <w:pPr>
              <w:snapToGrid w:val="0"/>
              <w:jc w:val="right"/>
              <w:rPr>
                <w:rFonts w:ascii="Times New Roman" w:hAnsi="Times New Roman" w:eastAsia="方正仿宋简体" w:cs="Times New Roman"/>
                <w:sz w:val="18"/>
                <w:szCs w:val="18"/>
                <w:highlight w:val="none"/>
                <w:lang w:bidi="ar"/>
              </w:rPr>
            </w:pPr>
          </w:p>
          <w:p>
            <w:pPr>
              <w:rPr>
                <w:rFonts w:ascii="Times New Roman" w:hAnsi="Times New Roman" w:eastAsia="方正仿宋简体" w:cs="Times New Roman"/>
                <w:sz w:val="18"/>
                <w:szCs w:val="18"/>
                <w:highlight w:val="none"/>
                <w:lang w:bidi="ar"/>
              </w:rPr>
            </w:pPr>
          </w:p>
          <w:p>
            <w:pPr>
              <w:rPr>
                <w:rFonts w:ascii="Times New Roman" w:hAnsi="Times New Roman" w:eastAsia="方正仿宋简体" w:cs="Times New Roman"/>
                <w:sz w:val="18"/>
                <w:szCs w:val="18"/>
                <w:highlight w:val="none"/>
                <w:lang w:bidi="ar"/>
              </w:rPr>
            </w:pPr>
          </w:p>
          <w:p>
            <w:pPr>
              <w:rPr>
                <w:rFonts w:ascii="Times New Roman" w:hAnsi="Times New Roman" w:eastAsia="方正仿宋简体" w:cs="Times New Roman"/>
                <w:sz w:val="18"/>
                <w:szCs w:val="18"/>
                <w:highlight w:val="none"/>
                <w:lang w:bidi="ar"/>
              </w:rPr>
            </w:pPr>
          </w:p>
          <w:p>
            <w:pPr>
              <w:rPr>
                <w:rFonts w:ascii="Times New Roman" w:hAnsi="Times New Roman" w:eastAsia="方正仿宋简体" w:cs="Times New Roman"/>
                <w:sz w:val="18"/>
                <w:szCs w:val="18"/>
                <w:highlight w:val="none"/>
                <w:lang w:bidi="ar"/>
              </w:rPr>
            </w:pPr>
          </w:p>
          <w:p>
            <w:pPr>
              <w:rPr>
                <w:rFonts w:ascii="Times New Roman" w:hAnsi="Times New Roman" w:eastAsia="方正仿宋简体" w:cs="Times New Roman"/>
                <w:sz w:val="18"/>
                <w:szCs w:val="18"/>
                <w:highlight w:val="none"/>
                <w:lang w:bidi="ar"/>
              </w:rPr>
            </w:pPr>
          </w:p>
        </w:tc>
      </w:tr>
    </w:tbl>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076E45-40EB-4B92-B20A-CA4C8391786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C0A05F65-13D5-4926-A91D-544717AE6D70}"/>
  </w:font>
  <w:font w:name="楷体_GB2312">
    <w:altName w:val="楷体"/>
    <w:panose1 w:val="00000000000000000000"/>
    <w:charset w:val="86"/>
    <w:family w:val="modern"/>
    <w:pitch w:val="default"/>
    <w:sig w:usb0="00000000" w:usb1="00000000" w:usb2="00000000" w:usb3="00000000" w:csb0="00040000" w:csb1="00000000"/>
    <w:embedRegular r:id="rId3" w:fontKey="{2934C9C7-57E1-4B5D-967F-A49234612A6E}"/>
  </w:font>
  <w:font w:name="仿宋_GB2312">
    <w:altName w:val="仿宋"/>
    <w:panose1 w:val="00000000000000000000"/>
    <w:charset w:val="86"/>
    <w:family w:val="modern"/>
    <w:pitch w:val="default"/>
    <w:sig w:usb0="00000000" w:usb1="00000000" w:usb2="00000000" w:usb3="00000000" w:csb0="00040000" w:csb1="00000000"/>
    <w:embedRegular r:id="rId4" w:fontKey="{781A3F8B-97C9-4A3E-95A8-2820937A3C9A}"/>
  </w:font>
  <w:font w:name="方正仿宋简体">
    <w:altName w:val="微软雅黑"/>
    <w:panose1 w:val="02010601030101010101"/>
    <w:charset w:val="86"/>
    <w:family w:val="script"/>
    <w:pitch w:val="default"/>
    <w:sig w:usb0="00000000" w:usb1="00000000" w:usb2="00000000" w:usb3="00000000" w:csb0="00040000" w:csb1="00000000"/>
    <w:embedRegular r:id="rId5" w:fontKey="{9DC9C54D-9E79-4EF7-B735-F64F64C2D5B0}"/>
  </w:font>
  <w:font w:name="仿宋">
    <w:panose1 w:val="02010609060101010101"/>
    <w:charset w:val="86"/>
    <w:family w:val="modern"/>
    <w:pitch w:val="default"/>
    <w:sig w:usb0="800002BF" w:usb1="38CF7CFA" w:usb2="00000016" w:usb3="00000000" w:csb0="00040001" w:csb1="00000000"/>
    <w:embedRegular r:id="rId6" w:fontKey="{F935BD8F-6923-473A-9796-ABCC02611A57}"/>
  </w:font>
  <w:font w:name="楷体">
    <w:panose1 w:val="02010609060101010101"/>
    <w:charset w:val="86"/>
    <w:family w:val="auto"/>
    <w:pitch w:val="default"/>
    <w:sig w:usb0="800002BF" w:usb1="38CF7CFA" w:usb2="00000016" w:usb3="00000000" w:csb0="00040001" w:csb1="00000000"/>
    <w:embedRegular r:id="rId7" w:fontKey="{1657EAE0-6253-41BC-A4F6-49810FD37118}"/>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sdt>
      <w:sdtPr>
        <w:rPr>
          <w:sz w:val="28"/>
          <w:szCs w:val="28"/>
        </w:rPr>
        <w:id w:val="1750927473"/>
      </w:sdtPr>
      <w:sdtEndPr>
        <w:rPr>
          <w:sz w:val="28"/>
          <w:szCs w:val="28"/>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iMjNjNjg3ZjBjODcwNmRhM2VmOGVkYTU0MDVhYzUifQ=="/>
  </w:docVars>
  <w:rsids>
    <w:rsidRoot w:val="001C6638"/>
    <w:rsid w:val="0019515E"/>
    <w:rsid w:val="001C6638"/>
    <w:rsid w:val="003A020B"/>
    <w:rsid w:val="003B265E"/>
    <w:rsid w:val="003C6F1C"/>
    <w:rsid w:val="006C7D8C"/>
    <w:rsid w:val="007B2DE1"/>
    <w:rsid w:val="008040A1"/>
    <w:rsid w:val="008A01D6"/>
    <w:rsid w:val="008C5FE9"/>
    <w:rsid w:val="008D4303"/>
    <w:rsid w:val="00A758A8"/>
    <w:rsid w:val="00C05EA0"/>
    <w:rsid w:val="00E4123D"/>
    <w:rsid w:val="00F228F7"/>
    <w:rsid w:val="00FD6370"/>
    <w:rsid w:val="019D708D"/>
    <w:rsid w:val="02CB619B"/>
    <w:rsid w:val="056D353A"/>
    <w:rsid w:val="06B70F10"/>
    <w:rsid w:val="07CC56E3"/>
    <w:rsid w:val="08484032"/>
    <w:rsid w:val="09A80FD6"/>
    <w:rsid w:val="0EC57F43"/>
    <w:rsid w:val="0FF327CF"/>
    <w:rsid w:val="105A290D"/>
    <w:rsid w:val="128F2D41"/>
    <w:rsid w:val="15E001EA"/>
    <w:rsid w:val="16355042"/>
    <w:rsid w:val="18345CA0"/>
    <w:rsid w:val="19B30151"/>
    <w:rsid w:val="1C250273"/>
    <w:rsid w:val="1CF87735"/>
    <w:rsid w:val="1D7B4783"/>
    <w:rsid w:val="1DBA2C3C"/>
    <w:rsid w:val="25C25770"/>
    <w:rsid w:val="2E462228"/>
    <w:rsid w:val="31807FCD"/>
    <w:rsid w:val="34CA0BC8"/>
    <w:rsid w:val="34F02F1A"/>
    <w:rsid w:val="35FE3BB6"/>
    <w:rsid w:val="398577FF"/>
    <w:rsid w:val="3D62072C"/>
    <w:rsid w:val="3FD45814"/>
    <w:rsid w:val="40F8510F"/>
    <w:rsid w:val="41CB0C27"/>
    <w:rsid w:val="448734FB"/>
    <w:rsid w:val="44A973E3"/>
    <w:rsid w:val="46C95B1B"/>
    <w:rsid w:val="488C4D1B"/>
    <w:rsid w:val="4E6656E1"/>
    <w:rsid w:val="4E9E65B0"/>
    <w:rsid w:val="4ECC264C"/>
    <w:rsid w:val="53056308"/>
    <w:rsid w:val="57F74CC6"/>
    <w:rsid w:val="5C6E32E0"/>
    <w:rsid w:val="5CA01070"/>
    <w:rsid w:val="5D411138"/>
    <w:rsid w:val="5F2176D5"/>
    <w:rsid w:val="5F9A2F47"/>
    <w:rsid w:val="632E6FDA"/>
    <w:rsid w:val="641C32D6"/>
    <w:rsid w:val="649F7D79"/>
    <w:rsid w:val="68686AEA"/>
    <w:rsid w:val="689A697E"/>
    <w:rsid w:val="68FF231C"/>
    <w:rsid w:val="69032B47"/>
    <w:rsid w:val="6C441742"/>
    <w:rsid w:val="74D81C03"/>
    <w:rsid w:val="7D68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paragraph" w:customStyle="1" w:styleId="9">
    <w:name w:val="首行缩进"/>
    <w:basedOn w:val="1"/>
    <w:qFormat/>
    <w:uiPriority w:val="0"/>
  </w:style>
  <w:style w:type="table" w:customStyle="1" w:styleId="10">
    <w:name w:val="网格型1"/>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741</Words>
  <Characters>4229</Characters>
  <Lines>35</Lines>
  <Paragraphs>9</Paragraphs>
  <TotalTime>96</TotalTime>
  <ScaleCrop>false</ScaleCrop>
  <LinksUpToDate>false</LinksUpToDate>
  <CharactersWithSpaces>4961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2022-11-24T10:44:00Z</dcterms:created>
  <dc:creator>DELL</dc:creator>
  <cp:lastModifiedBy>崇左教务处</cp:lastModifiedBy>
  <dcterms:modified xsi:type="dcterms:W3CDTF">2023-12-02T07:07:34Z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E7EFFB4779344FCBAE6B26F4F50EBD58</vt:lpwstr>
  </property>
</Properties>
</file>